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1A3F" w14:textId="77777777" w:rsidR="001359F6" w:rsidRPr="001359F6" w:rsidRDefault="001359F6" w:rsidP="001359F6">
      <w:pPr>
        <w:spacing w:before="7"/>
        <w:ind w:left="5670" w:right="49"/>
        <w:jc w:val="both"/>
        <w:rPr>
          <w:rFonts w:ascii="Arial" w:eastAsia="Arial" w:hAnsi="Arial" w:cs="Arial"/>
          <w:b/>
          <w:sz w:val="22"/>
          <w:szCs w:val="22"/>
        </w:rPr>
      </w:pPr>
      <w:bookmarkStart w:id="0" w:name="_gjdgxs"/>
      <w:bookmarkStart w:id="1" w:name="_Hlk69506949"/>
      <w:bookmarkEnd w:id="0"/>
      <w:r w:rsidRPr="001359F6">
        <w:rPr>
          <w:rFonts w:ascii="Arial" w:eastAsia="Arial" w:hAnsi="Arial" w:cs="Arial"/>
          <w:b/>
          <w:sz w:val="22"/>
          <w:szCs w:val="22"/>
        </w:rPr>
        <w:t>JUICIO PARA LA PROTECCIÓN DE LOS DE LOS DERECHOS POLÍTICO-ELECTORALES DE LA CIUDADANÍA.</w:t>
      </w:r>
    </w:p>
    <w:p w14:paraId="3BE522F7" w14:textId="77777777" w:rsidR="0028404C" w:rsidRPr="002139AB" w:rsidRDefault="0028404C" w:rsidP="0054445B">
      <w:pPr>
        <w:spacing w:before="7"/>
        <w:ind w:left="5670" w:right="49" w:hanging="561"/>
        <w:jc w:val="both"/>
        <w:rPr>
          <w:rFonts w:ascii="Arial" w:eastAsia="Arial" w:hAnsi="Arial" w:cs="Arial"/>
          <w:sz w:val="22"/>
          <w:szCs w:val="22"/>
        </w:rPr>
      </w:pPr>
    </w:p>
    <w:p w14:paraId="607B2C07" w14:textId="2450629A" w:rsidR="0028404C" w:rsidRPr="002139AB" w:rsidRDefault="00EA44A4" w:rsidP="0054445B">
      <w:pPr>
        <w:spacing w:before="29"/>
        <w:ind w:left="5670" w:right="49"/>
        <w:jc w:val="both"/>
        <w:rPr>
          <w:rFonts w:ascii="Arial" w:eastAsia="Arial" w:hAnsi="Arial" w:cs="Arial"/>
          <w:sz w:val="22"/>
          <w:szCs w:val="22"/>
        </w:rPr>
      </w:pPr>
      <w:r w:rsidRPr="002139AB">
        <w:rPr>
          <w:rFonts w:ascii="Arial" w:eastAsia="Arial" w:hAnsi="Arial" w:cs="Arial"/>
          <w:b/>
          <w:sz w:val="22"/>
          <w:szCs w:val="22"/>
        </w:rPr>
        <w:t xml:space="preserve">EXPEDIENTE: </w:t>
      </w:r>
      <w:r w:rsidRPr="002139AB">
        <w:rPr>
          <w:rFonts w:ascii="Arial" w:eastAsia="Arial" w:hAnsi="Arial" w:cs="Arial"/>
          <w:sz w:val="22"/>
          <w:szCs w:val="22"/>
        </w:rPr>
        <w:t>TEEA-</w:t>
      </w:r>
      <w:r w:rsidR="00317740">
        <w:rPr>
          <w:rFonts w:ascii="Arial" w:eastAsia="Arial" w:hAnsi="Arial" w:cs="Arial"/>
          <w:sz w:val="22"/>
          <w:szCs w:val="22"/>
        </w:rPr>
        <w:t>JDC</w:t>
      </w:r>
      <w:r w:rsidRPr="002139AB">
        <w:rPr>
          <w:rFonts w:ascii="Arial" w:eastAsia="Arial" w:hAnsi="Arial" w:cs="Arial"/>
          <w:sz w:val="22"/>
          <w:szCs w:val="22"/>
        </w:rPr>
        <w:t>-</w:t>
      </w:r>
      <w:r w:rsidR="00317740">
        <w:rPr>
          <w:rFonts w:ascii="Arial" w:eastAsia="Arial" w:hAnsi="Arial" w:cs="Arial"/>
          <w:sz w:val="22"/>
          <w:szCs w:val="22"/>
        </w:rPr>
        <w:t>140</w:t>
      </w:r>
      <w:r w:rsidRPr="002139AB">
        <w:rPr>
          <w:rFonts w:ascii="Arial" w:eastAsia="Arial" w:hAnsi="Arial" w:cs="Arial"/>
          <w:sz w:val="22"/>
          <w:szCs w:val="22"/>
        </w:rPr>
        <w:t>/2021.</w:t>
      </w:r>
    </w:p>
    <w:p w14:paraId="705501A0" w14:textId="77777777" w:rsidR="0028404C" w:rsidRPr="002139AB" w:rsidRDefault="0028404C" w:rsidP="0054445B">
      <w:pPr>
        <w:spacing w:before="29"/>
        <w:ind w:left="5670" w:right="49"/>
        <w:jc w:val="both"/>
        <w:rPr>
          <w:rFonts w:ascii="Arial" w:eastAsia="Arial" w:hAnsi="Arial" w:cs="Arial"/>
          <w:sz w:val="22"/>
          <w:szCs w:val="22"/>
        </w:rPr>
      </w:pPr>
    </w:p>
    <w:p w14:paraId="082C4559" w14:textId="126BF16F" w:rsidR="0028404C" w:rsidRPr="002139AB" w:rsidRDefault="00EA44A4" w:rsidP="0054445B">
      <w:pPr>
        <w:ind w:left="5670" w:right="49"/>
        <w:jc w:val="both"/>
        <w:rPr>
          <w:rFonts w:ascii="Arial" w:eastAsia="Arial" w:hAnsi="Arial" w:cs="Arial"/>
          <w:sz w:val="22"/>
          <w:szCs w:val="22"/>
        </w:rPr>
      </w:pPr>
      <w:r w:rsidRPr="002139AB">
        <w:rPr>
          <w:rFonts w:ascii="Arial" w:eastAsia="Arial" w:hAnsi="Arial" w:cs="Arial"/>
          <w:b/>
          <w:sz w:val="22"/>
          <w:szCs w:val="22"/>
        </w:rPr>
        <w:t xml:space="preserve">PROMOVENTE: </w:t>
      </w:r>
      <w:r w:rsidR="00317740">
        <w:rPr>
          <w:rFonts w:ascii="Arial" w:eastAsia="Arial" w:hAnsi="Arial" w:cs="Arial"/>
          <w:sz w:val="22"/>
          <w:szCs w:val="22"/>
        </w:rPr>
        <w:t>Berenice Anahí Romo Tapia.</w:t>
      </w:r>
    </w:p>
    <w:p w14:paraId="256D224D" w14:textId="77777777" w:rsidR="0028404C" w:rsidRPr="002139AB" w:rsidRDefault="0028404C" w:rsidP="0054445B">
      <w:pPr>
        <w:ind w:left="5670" w:right="49"/>
        <w:jc w:val="both"/>
        <w:rPr>
          <w:rFonts w:ascii="Arial" w:eastAsia="Arial" w:hAnsi="Arial" w:cs="Arial"/>
          <w:sz w:val="22"/>
          <w:szCs w:val="22"/>
        </w:rPr>
      </w:pPr>
    </w:p>
    <w:p w14:paraId="66C9BBF0" w14:textId="4E458F03" w:rsidR="0028404C" w:rsidRPr="002139AB" w:rsidRDefault="00EA44A4" w:rsidP="0054445B">
      <w:pPr>
        <w:ind w:left="5670" w:right="49"/>
        <w:jc w:val="both"/>
        <w:rPr>
          <w:rFonts w:ascii="Arial" w:eastAsia="Arial" w:hAnsi="Arial" w:cs="Arial"/>
          <w:sz w:val="22"/>
          <w:szCs w:val="22"/>
        </w:rPr>
      </w:pPr>
      <w:r w:rsidRPr="002139AB">
        <w:rPr>
          <w:rFonts w:ascii="Arial" w:eastAsia="Arial" w:hAnsi="Arial" w:cs="Arial"/>
          <w:b/>
          <w:sz w:val="22"/>
          <w:szCs w:val="22"/>
        </w:rPr>
        <w:t xml:space="preserve">AUTORIDAD RESPONSABLE: </w:t>
      </w:r>
      <w:r w:rsidR="00317740">
        <w:rPr>
          <w:rFonts w:ascii="Arial" w:eastAsia="Arial" w:hAnsi="Arial" w:cs="Arial"/>
          <w:sz w:val="22"/>
          <w:szCs w:val="22"/>
        </w:rPr>
        <w:t>Consejo General del Instituto Estatal Electoral.</w:t>
      </w:r>
    </w:p>
    <w:p w14:paraId="643BC977" w14:textId="77777777" w:rsidR="0028404C" w:rsidRPr="002139AB" w:rsidRDefault="0028404C" w:rsidP="0054445B">
      <w:pPr>
        <w:spacing w:before="9" w:line="180" w:lineRule="auto"/>
        <w:ind w:left="5670" w:right="49"/>
        <w:jc w:val="both"/>
        <w:rPr>
          <w:rFonts w:ascii="Arial" w:eastAsia="Arial" w:hAnsi="Arial" w:cs="Arial"/>
          <w:sz w:val="22"/>
          <w:szCs w:val="22"/>
        </w:rPr>
      </w:pPr>
    </w:p>
    <w:p w14:paraId="64ACCDEB" w14:textId="77777777" w:rsidR="0028404C" w:rsidRPr="002139AB" w:rsidRDefault="00EA44A4" w:rsidP="0054445B">
      <w:pPr>
        <w:ind w:left="5670" w:right="49"/>
        <w:jc w:val="both"/>
        <w:rPr>
          <w:rFonts w:ascii="Arial" w:eastAsia="Arial" w:hAnsi="Arial" w:cs="Arial"/>
          <w:sz w:val="22"/>
          <w:szCs w:val="22"/>
        </w:rPr>
      </w:pPr>
      <w:r w:rsidRPr="002139AB">
        <w:rPr>
          <w:rFonts w:ascii="Arial" w:eastAsia="Arial" w:hAnsi="Arial" w:cs="Arial"/>
          <w:b/>
          <w:sz w:val="22"/>
          <w:szCs w:val="22"/>
        </w:rPr>
        <w:t xml:space="preserve">MAGISTRADO PONENTE: </w:t>
      </w:r>
      <w:r w:rsidRPr="002139AB">
        <w:rPr>
          <w:rFonts w:ascii="Arial" w:eastAsia="Arial" w:hAnsi="Arial" w:cs="Arial"/>
          <w:sz w:val="22"/>
          <w:szCs w:val="22"/>
        </w:rPr>
        <w:t>Héctor Salvador Hernández Gallegos.</w:t>
      </w:r>
    </w:p>
    <w:p w14:paraId="54649B98" w14:textId="77777777" w:rsidR="0028404C" w:rsidRPr="002139AB" w:rsidRDefault="0028404C" w:rsidP="0054445B">
      <w:pPr>
        <w:spacing w:before="2" w:line="200" w:lineRule="auto"/>
        <w:ind w:left="5670" w:right="49"/>
        <w:jc w:val="both"/>
        <w:rPr>
          <w:rFonts w:ascii="Arial" w:eastAsia="Arial" w:hAnsi="Arial" w:cs="Arial"/>
          <w:sz w:val="22"/>
          <w:szCs w:val="22"/>
        </w:rPr>
      </w:pPr>
    </w:p>
    <w:p w14:paraId="32B1ED49" w14:textId="77777777" w:rsidR="0028404C" w:rsidRPr="002139AB" w:rsidRDefault="00EA44A4" w:rsidP="0054445B">
      <w:pPr>
        <w:ind w:left="5670" w:right="49"/>
        <w:jc w:val="both"/>
        <w:rPr>
          <w:rFonts w:ascii="Arial" w:eastAsia="Arial" w:hAnsi="Arial" w:cs="Arial"/>
          <w:sz w:val="22"/>
          <w:szCs w:val="22"/>
        </w:rPr>
      </w:pPr>
      <w:r w:rsidRPr="002139AB">
        <w:rPr>
          <w:rFonts w:ascii="Arial" w:eastAsia="Arial" w:hAnsi="Arial" w:cs="Arial"/>
          <w:b/>
          <w:sz w:val="22"/>
          <w:szCs w:val="22"/>
        </w:rPr>
        <w:t xml:space="preserve">SECRETARIO DE ESTUDIO: </w:t>
      </w:r>
      <w:r w:rsidRPr="002139AB">
        <w:rPr>
          <w:rFonts w:ascii="Arial" w:eastAsia="Arial" w:hAnsi="Arial" w:cs="Arial"/>
          <w:sz w:val="22"/>
          <w:szCs w:val="22"/>
        </w:rPr>
        <w:t>Daniel Omar Gutiérrez Ruvalcaba.</w:t>
      </w:r>
    </w:p>
    <w:p w14:paraId="6EE8E5E7" w14:textId="77777777" w:rsidR="0028404C" w:rsidRPr="002139AB" w:rsidRDefault="0028404C" w:rsidP="0054445B">
      <w:pPr>
        <w:ind w:left="5670" w:right="49"/>
        <w:jc w:val="both"/>
        <w:rPr>
          <w:rFonts w:ascii="Arial" w:eastAsia="Arial" w:hAnsi="Arial" w:cs="Arial"/>
          <w:sz w:val="22"/>
          <w:szCs w:val="22"/>
        </w:rPr>
      </w:pPr>
    </w:p>
    <w:p w14:paraId="77C8CDB2" w14:textId="77777777" w:rsidR="0028404C" w:rsidRPr="002139AB" w:rsidRDefault="00EA44A4" w:rsidP="0054445B">
      <w:pPr>
        <w:ind w:left="5670" w:right="49"/>
        <w:jc w:val="both"/>
        <w:rPr>
          <w:rFonts w:ascii="Arial" w:eastAsia="Arial" w:hAnsi="Arial" w:cs="Arial"/>
          <w:sz w:val="22"/>
          <w:szCs w:val="22"/>
        </w:rPr>
      </w:pPr>
      <w:r w:rsidRPr="002139AB">
        <w:rPr>
          <w:rFonts w:ascii="Arial" w:eastAsia="Arial" w:hAnsi="Arial" w:cs="Arial"/>
          <w:b/>
          <w:sz w:val="22"/>
          <w:szCs w:val="22"/>
        </w:rPr>
        <w:t xml:space="preserve">SECRETARIOS JURÍDICOS: </w:t>
      </w:r>
      <w:r w:rsidRPr="002139AB">
        <w:rPr>
          <w:rFonts w:ascii="Arial" w:eastAsia="Arial" w:hAnsi="Arial" w:cs="Arial"/>
          <w:sz w:val="22"/>
          <w:szCs w:val="22"/>
        </w:rPr>
        <w:t>David Antonio Chávez Rosales y Tomas Huizar Jiménez.</w:t>
      </w:r>
    </w:p>
    <w:p w14:paraId="6D880C63" w14:textId="77777777" w:rsidR="0028404C" w:rsidRPr="002139AB" w:rsidRDefault="0028404C">
      <w:pPr>
        <w:ind w:left="4536" w:right="49"/>
        <w:jc w:val="both"/>
        <w:rPr>
          <w:rFonts w:ascii="Arial" w:eastAsia="Arial" w:hAnsi="Arial" w:cs="Arial"/>
          <w:sz w:val="22"/>
          <w:szCs w:val="22"/>
        </w:rPr>
      </w:pPr>
    </w:p>
    <w:p w14:paraId="5EAE325C" w14:textId="77777777" w:rsidR="00E6283A" w:rsidRDefault="00E6283A" w:rsidP="00E6283A">
      <w:pPr>
        <w:tabs>
          <w:tab w:val="left" w:pos="6521"/>
        </w:tabs>
        <w:spacing w:before="29"/>
        <w:rPr>
          <w:rFonts w:ascii="Arial" w:eastAsia="Arial" w:hAnsi="Arial" w:cs="Arial"/>
          <w:sz w:val="22"/>
          <w:szCs w:val="22"/>
        </w:rPr>
      </w:pPr>
    </w:p>
    <w:p w14:paraId="7ACF6B4C" w14:textId="4F085377" w:rsidR="0028404C" w:rsidRPr="002139AB" w:rsidRDefault="00EA44A4" w:rsidP="00E6283A">
      <w:pPr>
        <w:tabs>
          <w:tab w:val="left" w:pos="6521"/>
        </w:tabs>
        <w:spacing w:before="29"/>
        <w:rPr>
          <w:rFonts w:ascii="Arial" w:eastAsia="Arial" w:hAnsi="Arial" w:cs="Arial"/>
          <w:sz w:val="22"/>
          <w:szCs w:val="22"/>
        </w:rPr>
      </w:pPr>
      <w:r w:rsidRPr="002139AB">
        <w:rPr>
          <w:rFonts w:ascii="Arial" w:eastAsia="Arial" w:hAnsi="Arial" w:cs="Arial"/>
          <w:sz w:val="22"/>
          <w:szCs w:val="22"/>
        </w:rPr>
        <w:t xml:space="preserve">Aguascalientes, Aguascalientes a </w:t>
      </w:r>
      <w:r w:rsidR="00317740">
        <w:rPr>
          <w:rFonts w:ascii="Arial" w:eastAsia="Arial" w:hAnsi="Arial" w:cs="Arial"/>
          <w:sz w:val="22"/>
          <w:szCs w:val="22"/>
        </w:rPr>
        <w:t>veintiocho de julio</w:t>
      </w:r>
      <w:r w:rsidR="0053309F" w:rsidRPr="002139AB">
        <w:rPr>
          <w:rFonts w:ascii="Arial" w:eastAsia="Arial" w:hAnsi="Arial" w:cs="Arial"/>
          <w:sz w:val="22"/>
          <w:szCs w:val="22"/>
        </w:rPr>
        <w:t xml:space="preserve"> </w:t>
      </w:r>
      <w:r w:rsidRPr="002139AB">
        <w:rPr>
          <w:rFonts w:ascii="Arial" w:eastAsia="Arial" w:hAnsi="Arial" w:cs="Arial"/>
          <w:sz w:val="22"/>
          <w:szCs w:val="22"/>
        </w:rPr>
        <w:t>de dos mil veintiuno.</w:t>
      </w:r>
    </w:p>
    <w:p w14:paraId="02542DC3" w14:textId="77777777" w:rsidR="0028404C" w:rsidRPr="002139AB" w:rsidRDefault="0028404C">
      <w:pPr>
        <w:spacing w:line="200" w:lineRule="auto"/>
        <w:rPr>
          <w:rFonts w:ascii="Arial" w:eastAsia="Arial" w:hAnsi="Arial" w:cs="Arial"/>
          <w:sz w:val="22"/>
          <w:szCs w:val="22"/>
        </w:rPr>
      </w:pPr>
    </w:p>
    <w:p w14:paraId="726C3BB9" w14:textId="77777777" w:rsidR="0028404C" w:rsidRPr="002139AB" w:rsidRDefault="0028404C">
      <w:pPr>
        <w:spacing w:before="18" w:line="200" w:lineRule="auto"/>
        <w:rPr>
          <w:rFonts w:ascii="Arial" w:eastAsia="Arial" w:hAnsi="Arial" w:cs="Arial"/>
          <w:sz w:val="22"/>
          <w:szCs w:val="22"/>
        </w:rPr>
      </w:pPr>
    </w:p>
    <w:p w14:paraId="3D3C16A7" w14:textId="46033F27" w:rsidR="0028404C" w:rsidRPr="002139AB" w:rsidRDefault="00EA44A4">
      <w:pPr>
        <w:spacing w:line="360" w:lineRule="auto"/>
        <w:jc w:val="both"/>
        <w:rPr>
          <w:rFonts w:ascii="Arial" w:eastAsia="Arial" w:hAnsi="Arial" w:cs="Arial"/>
          <w:sz w:val="22"/>
          <w:szCs w:val="22"/>
        </w:rPr>
      </w:pPr>
      <w:r w:rsidRPr="002139AB">
        <w:rPr>
          <w:rFonts w:ascii="Arial" w:eastAsia="Arial" w:hAnsi="Arial" w:cs="Arial"/>
          <w:b/>
          <w:sz w:val="22"/>
          <w:szCs w:val="22"/>
        </w:rPr>
        <w:t>SENTENCIA</w:t>
      </w:r>
      <w:r w:rsidR="003B0BB1">
        <w:rPr>
          <w:rFonts w:ascii="Arial" w:eastAsia="Arial" w:hAnsi="Arial" w:cs="Arial"/>
          <w:b/>
          <w:sz w:val="22"/>
          <w:szCs w:val="22"/>
        </w:rPr>
        <w:t xml:space="preserve"> </w:t>
      </w:r>
      <w:r w:rsidR="003B0BB1" w:rsidRPr="003B0BB1">
        <w:rPr>
          <w:rFonts w:ascii="Arial" w:eastAsia="Arial" w:hAnsi="Arial" w:cs="Arial"/>
          <w:bCs/>
          <w:sz w:val="22"/>
          <w:szCs w:val="22"/>
        </w:rPr>
        <w:t xml:space="preserve">que desecha por extemporánea la demanda del </w:t>
      </w:r>
      <w:r w:rsidR="00317740">
        <w:rPr>
          <w:rFonts w:ascii="Arial" w:eastAsia="Arial" w:hAnsi="Arial" w:cs="Arial"/>
          <w:bCs/>
          <w:sz w:val="22"/>
          <w:szCs w:val="22"/>
        </w:rPr>
        <w:t>Juicio Ciudadano</w:t>
      </w:r>
      <w:r w:rsidR="003B0BB1" w:rsidRPr="003B0BB1">
        <w:rPr>
          <w:rFonts w:ascii="Arial" w:eastAsia="Arial" w:hAnsi="Arial" w:cs="Arial"/>
          <w:bCs/>
          <w:sz w:val="22"/>
          <w:szCs w:val="22"/>
        </w:rPr>
        <w:t xml:space="preserve">, interpuesto </w:t>
      </w:r>
      <w:r w:rsidR="00AE6DB4" w:rsidRPr="003B0BB1">
        <w:rPr>
          <w:rFonts w:ascii="Arial" w:eastAsia="Arial" w:hAnsi="Arial" w:cs="Arial"/>
          <w:bCs/>
          <w:sz w:val="22"/>
          <w:szCs w:val="22"/>
        </w:rPr>
        <w:t>por</w:t>
      </w:r>
      <w:r w:rsidR="00AE6DB4">
        <w:rPr>
          <w:rFonts w:ascii="Arial" w:eastAsia="Arial" w:hAnsi="Arial" w:cs="Arial"/>
          <w:b/>
          <w:sz w:val="22"/>
          <w:szCs w:val="22"/>
        </w:rPr>
        <w:t xml:space="preserve"> </w:t>
      </w:r>
      <w:r w:rsidR="00317740">
        <w:rPr>
          <w:rFonts w:ascii="Arial" w:eastAsia="Arial" w:hAnsi="Arial" w:cs="Arial"/>
          <w:sz w:val="22"/>
          <w:szCs w:val="22"/>
        </w:rPr>
        <w:t>Berenice Anahí Romo Tapia,</w:t>
      </w:r>
      <w:r w:rsidR="003B0BB1">
        <w:rPr>
          <w:rFonts w:ascii="Arial" w:eastAsia="Arial" w:hAnsi="Arial" w:cs="Arial"/>
          <w:sz w:val="22"/>
          <w:szCs w:val="22"/>
        </w:rPr>
        <w:t xml:space="preserve"> para controvertir </w:t>
      </w:r>
      <w:r w:rsidR="00317740">
        <w:rPr>
          <w:rFonts w:ascii="Arial" w:eastAsia="Arial" w:hAnsi="Arial" w:cs="Arial"/>
          <w:sz w:val="22"/>
          <w:szCs w:val="22"/>
        </w:rPr>
        <w:t xml:space="preserve">la supuesta omisión del Instituto Estatal Electoral respecto del análisis y revisión de los requisitos de elegibilidad de la diputada propietaria en la </w:t>
      </w:r>
      <w:r w:rsidR="00F308A1">
        <w:rPr>
          <w:rFonts w:ascii="Arial" w:eastAsia="Arial" w:hAnsi="Arial" w:cs="Arial"/>
          <w:sz w:val="22"/>
          <w:szCs w:val="22"/>
        </w:rPr>
        <w:t>fórmula</w:t>
      </w:r>
      <w:r w:rsidR="00317740">
        <w:rPr>
          <w:rFonts w:ascii="Arial" w:eastAsia="Arial" w:hAnsi="Arial" w:cs="Arial"/>
          <w:sz w:val="22"/>
          <w:szCs w:val="22"/>
        </w:rPr>
        <w:t xml:space="preserve"> 6 de las asignadas por la vía de representación proporcional.</w:t>
      </w:r>
    </w:p>
    <w:p w14:paraId="6B6A8BA3" w14:textId="7AADC406" w:rsidR="0028404C" w:rsidRPr="00644D39" w:rsidRDefault="0028404C" w:rsidP="00B200C6">
      <w:pPr>
        <w:pStyle w:val="Sinespaciado"/>
        <w:ind w:left="851" w:hanging="142"/>
        <w:rPr>
          <w:rFonts w:ascii="Arial" w:hAnsi="Arial" w:cs="Arial"/>
          <w:sz w:val="24"/>
          <w:szCs w:val="24"/>
          <w:highlight w:val="yellow"/>
          <w:lang w:val="es-ES"/>
        </w:rPr>
      </w:pPr>
    </w:p>
    <w:p w14:paraId="386EEA89" w14:textId="77777777" w:rsidR="0028404C" w:rsidRPr="00644D39" w:rsidRDefault="00EA44A4">
      <w:pPr>
        <w:spacing w:line="360" w:lineRule="auto"/>
        <w:jc w:val="center"/>
        <w:rPr>
          <w:rFonts w:ascii="Arial" w:eastAsia="Arial" w:hAnsi="Arial" w:cs="Arial"/>
          <w:b/>
        </w:rPr>
      </w:pPr>
      <w:r w:rsidRPr="00644D39">
        <w:rPr>
          <w:rFonts w:ascii="Arial" w:eastAsia="Arial" w:hAnsi="Arial" w:cs="Arial"/>
          <w:b/>
        </w:rPr>
        <w:t>GLOSARIO</w:t>
      </w:r>
    </w:p>
    <w:p w14:paraId="122858AC" w14:textId="77777777" w:rsidR="0028404C" w:rsidRPr="00644D39" w:rsidRDefault="0028404C">
      <w:pPr>
        <w:ind w:left="2465" w:right="2324" w:hanging="140"/>
        <w:jc w:val="center"/>
        <w:rPr>
          <w:rFonts w:ascii="Arial" w:eastAsia="Arial" w:hAnsi="Arial" w:cs="Arial"/>
          <w:b/>
        </w:rPr>
      </w:pPr>
    </w:p>
    <w:tbl>
      <w:tblPr>
        <w:tblStyle w:val="a"/>
        <w:tblW w:w="676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996"/>
        <w:gridCol w:w="4767"/>
      </w:tblGrid>
      <w:tr w:rsidR="0028404C" w:rsidRPr="00644D39" w14:paraId="6EB5F778" w14:textId="77777777" w:rsidTr="0054445B">
        <w:trPr>
          <w:trHeight w:val="26"/>
          <w:jc w:val="center"/>
        </w:trPr>
        <w:tc>
          <w:tcPr>
            <w:tcW w:w="1996" w:type="dxa"/>
          </w:tcPr>
          <w:p w14:paraId="30DE7C3A" w14:textId="77777777" w:rsidR="0028404C" w:rsidRPr="0009426E" w:rsidRDefault="00EA44A4">
            <w:pPr>
              <w:jc w:val="both"/>
              <w:rPr>
                <w:rFonts w:ascii="Arial" w:eastAsia="Arial" w:hAnsi="Arial" w:cs="Arial"/>
                <w:b/>
              </w:rPr>
            </w:pPr>
            <w:r w:rsidRPr="0009426E">
              <w:rPr>
                <w:rFonts w:ascii="Arial" w:eastAsia="Arial" w:hAnsi="Arial" w:cs="Arial"/>
                <w:b/>
              </w:rPr>
              <w:t>Promovente:</w:t>
            </w:r>
          </w:p>
          <w:p w14:paraId="62508A52" w14:textId="77777777" w:rsidR="0028404C" w:rsidRPr="0009426E" w:rsidRDefault="0028404C">
            <w:pPr>
              <w:jc w:val="both"/>
              <w:rPr>
                <w:rFonts w:ascii="Arial" w:eastAsia="Arial" w:hAnsi="Arial" w:cs="Arial"/>
                <w:b/>
              </w:rPr>
            </w:pPr>
          </w:p>
          <w:p w14:paraId="47831BCC" w14:textId="7406846E" w:rsidR="00672CF2" w:rsidRPr="0009426E" w:rsidRDefault="0054445B">
            <w:pPr>
              <w:jc w:val="both"/>
              <w:rPr>
                <w:rFonts w:ascii="Arial" w:eastAsia="Arial" w:hAnsi="Arial" w:cs="Arial"/>
                <w:b/>
              </w:rPr>
            </w:pPr>
            <w:r w:rsidRPr="0009426E">
              <w:rPr>
                <w:rFonts w:ascii="Arial" w:eastAsia="Arial" w:hAnsi="Arial" w:cs="Arial"/>
                <w:b/>
              </w:rPr>
              <w:t>Responsable</w:t>
            </w:r>
            <w:r w:rsidR="00672CF2" w:rsidRPr="0009426E">
              <w:rPr>
                <w:rFonts w:ascii="Arial" w:eastAsia="Arial" w:hAnsi="Arial" w:cs="Arial"/>
                <w:b/>
              </w:rPr>
              <w:t>:</w:t>
            </w:r>
          </w:p>
          <w:p w14:paraId="79E6B1BD" w14:textId="77777777" w:rsidR="0054445B" w:rsidRPr="0009426E" w:rsidRDefault="0054445B">
            <w:pPr>
              <w:jc w:val="both"/>
              <w:rPr>
                <w:rFonts w:ascii="Arial" w:eastAsia="Arial" w:hAnsi="Arial" w:cs="Arial"/>
                <w:b/>
              </w:rPr>
            </w:pPr>
          </w:p>
          <w:p w14:paraId="32423884" w14:textId="28BD1BF8" w:rsidR="0041576C" w:rsidRPr="0009426E" w:rsidRDefault="00743998">
            <w:pPr>
              <w:jc w:val="both"/>
              <w:rPr>
                <w:rFonts w:ascii="Arial" w:eastAsia="Arial" w:hAnsi="Arial" w:cs="Arial"/>
                <w:b/>
              </w:rPr>
            </w:pPr>
            <w:r w:rsidRPr="0009426E">
              <w:rPr>
                <w:rFonts w:ascii="Arial" w:eastAsia="Arial" w:hAnsi="Arial" w:cs="Arial"/>
                <w:b/>
              </w:rPr>
              <w:t>IEE</w:t>
            </w:r>
            <w:r w:rsidR="00EA44A4" w:rsidRPr="0009426E">
              <w:rPr>
                <w:rFonts w:ascii="Arial" w:eastAsia="Arial" w:hAnsi="Arial" w:cs="Arial"/>
                <w:b/>
              </w:rPr>
              <w:t>:</w:t>
            </w:r>
          </w:p>
          <w:p w14:paraId="37F6663F" w14:textId="77777777" w:rsidR="0054445B" w:rsidRPr="0009426E" w:rsidRDefault="0054445B">
            <w:pPr>
              <w:jc w:val="both"/>
              <w:rPr>
                <w:rFonts w:ascii="Arial" w:eastAsia="Arial" w:hAnsi="Arial" w:cs="Arial"/>
                <w:b/>
              </w:rPr>
            </w:pPr>
          </w:p>
          <w:p w14:paraId="1A9785FE" w14:textId="666B2850" w:rsidR="00743998" w:rsidRPr="0009426E" w:rsidRDefault="00743998">
            <w:pPr>
              <w:jc w:val="both"/>
              <w:rPr>
                <w:rFonts w:ascii="Arial" w:eastAsia="Arial" w:hAnsi="Arial" w:cs="Arial"/>
                <w:b/>
              </w:rPr>
            </w:pPr>
            <w:r w:rsidRPr="0009426E">
              <w:rPr>
                <w:rFonts w:ascii="Arial" w:eastAsia="Arial" w:hAnsi="Arial" w:cs="Arial"/>
                <w:b/>
              </w:rPr>
              <w:t>Tribunal Electoral:</w:t>
            </w:r>
          </w:p>
          <w:p w14:paraId="490CDE6E" w14:textId="06E8691B" w:rsidR="0041576C" w:rsidRPr="0009426E" w:rsidRDefault="0041576C">
            <w:pPr>
              <w:jc w:val="both"/>
              <w:rPr>
                <w:rFonts w:ascii="Arial" w:eastAsia="Arial" w:hAnsi="Arial" w:cs="Arial"/>
                <w:b/>
              </w:rPr>
            </w:pPr>
          </w:p>
        </w:tc>
        <w:tc>
          <w:tcPr>
            <w:tcW w:w="4767" w:type="dxa"/>
          </w:tcPr>
          <w:p w14:paraId="3D438E4D" w14:textId="4E3CABB5" w:rsidR="00672CF2" w:rsidRPr="0009426E" w:rsidRDefault="00EA44A4">
            <w:pPr>
              <w:ind w:right="178"/>
              <w:jc w:val="both"/>
              <w:rPr>
                <w:rFonts w:ascii="Arial" w:eastAsia="Arial" w:hAnsi="Arial" w:cs="Arial"/>
              </w:rPr>
            </w:pPr>
            <w:r w:rsidRPr="0009426E">
              <w:rPr>
                <w:rFonts w:ascii="Arial" w:eastAsia="Arial" w:hAnsi="Arial" w:cs="Arial"/>
              </w:rPr>
              <w:t xml:space="preserve">C. </w:t>
            </w:r>
            <w:r w:rsidR="00317740">
              <w:rPr>
                <w:rFonts w:ascii="Arial" w:eastAsia="Arial" w:hAnsi="Arial" w:cs="Arial"/>
              </w:rPr>
              <w:t>Berenice Anahí Romo Tapia</w:t>
            </w:r>
            <w:r w:rsidR="00F3182A">
              <w:rPr>
                <w:rFonts w:ascii="Arial" w:eastAsia="Arial" w:hAnsi="Arial" w:cs="Arial"/>
              </w:rPr>
              <w:t>.</w:t>
            </w:r>
          </w:p>
          <w:p w14:paraId="7AE5B166" w14:textId="77777777" w:rsidR="00672CF2" w:rsidRPr="0009426E" w:rsidRDefault="00672CF2">
            <w:pPr>
              <w:ind w:right="178"/>
              <w:jc w:val="both"/>
              <w:rPr>
                <w:rFonts w:ascii="Arial" w:eastAsia="Arial" w:hAnsi="Arial" w:cs="Arial"/>
              </w:rPr>
            </w:pPr>
          </w:p>
          <w:p w14:paraId="0DBDFB0E" w14:textId="633DEEF7" w:rsidR="0028404C" w:rsidRPr="0009426E" w:rsidRDefault="00317740">
            <w:pPr>
              <w:ind w:right="178"/>
              <w:jc w:val="both"/>
              <w:rPr>
                <w:rFonts w:ascii="Arial" w:eastAsia="Arial" w:hAnsi="Arial" w:cs="Arial"/>
              </w:rPr>
            </w:pPr>
            <w:r>
              <w:rPr>
                <w:rFonts w:ascii="Arial" w:eastAsia="Arial" w:hAnsi="Arial" w:cs="Arial"/>
              </w:rPr>
              <w:t>Consejo General del Instituto Estatal Electoral.</w:t>
            </w:r>
          </w:p>
          <w:p w14:paraId="4C54FA70" w14:textId="77777777" w:rsidR="0028404C" w:rsidRPr="0009426E" w:rsidRDefault="0028404C">
            <w:pPr>
              <w:ind w:right="178"/>
              <w:jc w:val="both"/>
              <w:rPr>
                <w:rFonts w:ascii="Arial" w:eastAsia="Arial" w:hAnsi="Arial" w:cs="Arial"/>
              </w:rPr>
            </w:pPr>
          </w:p>
          <w:p w14:paraId="731876EC" w14:textId="4FA754B5" w:rsidR="0028404C" w:rsidRPr="0009426E" w:rsidRDefault="00743998">
            <w:pPr>
              <w:ind w:right="178"/>
              <w:jc w:val="both"/>
              <w:rPr>
                <w:rFonts w:ascii="Arial" w:eastAsia="Arial" w:hAnsi="Arial" w:cs="Arial"/>
              </w:rPr>
            </w:pPr>
            <w:r w:rsidRPr="0009426E">
              <w:rPr>
                <w:rFonts w:ascii="Arial" w:eastAsia="Arial" w:hAnsi="Arial" w:cs="Arial"/>
              </w:rPr>
              <w:t>Instituto Estatal Electoral.</w:t>
            </w:r>
          </w:p>
          <w:p w14:paraId="39B6CD76" w14:textId="77777777" w:rsidR="0054445B" w:rsidRPr="0009426E" w:rsidRDefault="0054445B">
            <w:pPr>
              <w:ind w:right="178"/>
              <w:jc w:val="both"/>
              <w:rPr>
                <w:rFonts w:ascii="Arial" w:eastAsia="Arial" w:hAnsi="Arial" w:cs="Arial"/>
              </w:rPr>
            </w:pPr>
          </w:p>
          <w:p w14:paraId="1B358181" w14:textId="52203C51" w:rsidR="00743998" w:rsidRPr="0009426E" w:rsidRDefault="00743998">
            <w:pPr>
              <w:ind w:right="178"/>
              <w:jc w:val="both"/>
              <w:rPr>
                <w:rFonts w:ascii="Arial" w:eastAsia="Arial" w:hAnsi="Arial" w:cs="Arial"/>
              </w:rPr>
            </w:pPr>
            <w:r w:rsidRPr="0009426E">
              <w:rPr>
                <w:rFonts w:ascii="Arial" w:eastAsia="Arial" w:hAnsi="Arial" w:cs="Arial"/>
              </w:rPr>
              <w:t>Tribunal Electoral del Estado de Aguascalientes.</w:t>
            </w:r>
          </w:p>
        </w:tc>
      </w:tr>
      <w:tr w:rsidR="0054445B" w:rsidRPr="00644D39" w14:paraId="0CFEE4B2" w14:textId="77777777" w:rsidTr="0054445B">
        <w:trPr>
          <w:trHeight w:val="26"/>
          <w:jc w:val="center"/>
        </w:trPr>
        <w:tc>
          <w:tcPr>
            <w:tcW w:w="1996" w:type="dxa"/>
          </w:tcPr>
          <w:p w14:paraId="0C234CDC" w14:textId="629A41FB" w:rsidR="0054445B" w:rsidRPr="0009426E" w:rsidRDefault="0054445B">
            <w:pPr>
              <w:jc w:val="both"/>
              <w:rPr>
                <w:rFonts w:ascii="Arial" w:eastAsia="Arial" w:hAnsi="Arial" w:cs="Arial"/>
                <w:b/>
              </w:rPr>
            </w:pPr>
            <w:r w:rsidRPr="0009426E">
              <w:rPr>
                <w:rFonts w:ascii="Arial" w:eastAsia="Arial" w:hAnsi="Arial" w:cs="Arial"/>
                <w:b/>
              </w:rPr>
              <w:t>Código Electoral:</w:t>
            </w:r>
          </w:p>
        </w:tc>
        <w:tc>
          <w:tcPr>
            <w:tcW w:w="4767" w:type="dxa"/>
          </w:tcPr>
          <w:p w14:paraId="414847FF" w14:textId="0AFB51FA" w:rsidR="0054445B" w:rsidRPr="0009426E" w:rsidRDefault="0054445B">
            <w:pPr>
              <w:ind w:right="178"/>
              <w:jc w:val="both"/>
              <w:rPr>
                <w:rFonts w:ascii="Arial" w:eastAsia="Arial" w:hAnsi="Arial" w:cs="Arial"/>
              </w:rPr>
            </w:pPr>
            <w:r w:rsidRPr="0009426E">
              <w:rPr>
                <w:rFonts w:ascii="Arial" w:eastAsia="Arial" w:hAnsi="Arial" w:cs="Arial"/>
              </w:rPr>
              <w:t>Código Electoral del Estado de Aguascalientes.</w:t>
            </w:r>
          </w:p>
        </w:tc>
      </w:tr>
    </w:tbl>
    <w:p w14:paraId="03AF9D11" w14:textId="77777777" w:rsidR="0054445B" w:rsidRPr="0054445B" w:rsidRDefault="0054445B" w:rsidP="0054445B">
      <w:pPr>
        <w:rPr>
          <w:rFonts w:eastAsia="Arial"/>
          <w:highlight w:val="white"/>
        </w:rPr>
      </w:pPr>
      <w:bookmarkStart w:id="2" w:name="_Toc69406586"/>
    </w:p>
    <w:p w14:paraId="08650802" w14:textId="77777777" w:rsidR="0054445B" w:rsidRPr="0054445B" w:rsidRDefault="0054445B" w:rsidP="0054445B">
      <w:pPr>
        <w:rPr>
          <w:rFonts w:eastAsia="Arial"/>
          <w:highlight w:val="white"/>
        </w:rPr>
      </w:pPr>
    </w:p>
    <w:p w14:paraId="0F16BF8E" w14:textId="1158FB07" w:rsidR="0028404C" w:rsidRPr="002139AB" w:rsidRDefault="008D61DD" w:rsidP="008D61DD">
      <w:pPr>
        <w:pStyle w:val="Ttulo1"/>
        <w:keepLines w:val="0"/>
        <w:spacing w:before="0" w:line="360" w:lineRule="auto"/>
        <w:jc w:val="both"/>
        <w:rPr>
          <w:rFonts w:ascii="Arial" w:eastAsia="Arial" w:hAnsi="Arial" w:cs="Arial"/>
          <w:b/>
          <w:bCs/>
          <w:color w:val="auto"/>
          <w:sz w:val="22"/>
          <w:szCs w:val="22"/>
          <w:highlight w:val="white"/>
        </w:rPr>
      </w:pPr>
      <w:r>
        <w:rPr>
          <w:rFonts w:ascii="Arial" w:eastAsia="Times New Roman" w:hAnsi="Arial" w:cs="Arial"/>
          <w:b/>
          <w:bCs/>
          <w:color w:val="auto"/>
          <w:sz w:val="22"/>
          <w:szCs w:val="22"/>
        </w:rPr>
        <w:t xml:space="preserve">1. </w:t>
      </w:r>
      <w:r w:rsidR="00B200C6" w:rsidRPr="002139AB">
        <w:rPr>
          <w:rFonts w:ascii="Arial" w:eastAsia="Times New Roman" w:hAnsi="Arial" w:cs="Arial"/>
          <w:b/>
          <w:bCs/>
          <w:color w:val="auto"/>
          <w:sz w:val="22"/>
          <w:szCs w:val="22"/>
        </w:rPr>
        <w:t>ANTECEDENTES</w:t>
      </w:r>
      <w:r w:rsidR="00EA44A4" w:rsidRPr="002139AB">
        <w:rPr>
          <w:rFonts w:ascii="Arial" w:eastAsia="Arial" w:hAnsi="Arial" w:cs="Arial"/>
          <w:b/>
          <w:bCs/>
          <w:color w:val="auto"/>
          <w:sz w:val="22"/>
          <w:szCs w:val="22"/>
          <w:highlight w:val="white"/>
          <w:vertAlign w:val="superscript"/>
        </w:rPr>
        <w:footnoteReference w:id="1"/>
      </w:r>
      <w:r w:rsidR="00EA44A4" w:rsidRPr="002139AB">
        <w:rPr>
          <w:rFonts w:ascii="Arial" w:eastAsia="Arial" w:hAnsi="Arial" w:cs="Arial"/>
          <w:b/>
          <w:bCs/>
          <w:color w:val="auto"/>
          <w:sz w:val="22"/>
          <w:szCs w:val="22"/>
          <w:highlight w:val="white"/>
        </w:rPr>
        <w:t>.</w:t>
      </w:r>
      <w:bookmarkEnd w:id="2"/>
    </w:p>
    <w:p w14:paraId="76BF63D4" w14:textId="77777777" w:rsidR="0028404C" w:rsidRPr="002139AB" w:rsidRDefault="0028404C">
      <w:pPr>
        <w:spacing w:line="360" w:lineRule="auto"/>
        <w:jc w:val="both"/>
        <w:rPr>
          <w:rFonts w:ascii="Arial" w:eastAsia="Arial" w:hAnsi="Arial" w:cs="Arial"/>
          <w:sz w:val="22"/>
          <w:szCs w:val="22"/>
          <w:highlight w:val="white"/>
        </w:rPr>
      </w:pPr>
    </w:p>
    <w:p w14:paraId="2765B387" w14:textId="77777777" w:rsidR="0028404C" w:rsidRPr="00A633FA" w:rsidRDefault="00EA44A4">
      <w:pPr>
        <w:shd w:val="clear" w:color="auto" w:fill="FFFFFF"/>
        <w:spacing w:line="360" w:lineRule="auto"/>
        <w:jc w:val="both"/>
        <w:rPr>
          <w:rFonts w:ascii="Arial" w:eastAsia="Arial" w:hAnsi="Arial" w:cs="Arial"/>
          <w:sz w:val="22"/>
          <w:szCs w:val="22"/>
          <w:highlight w:val="white"/>
        </w:rPr>
      </w:pPr>
      <w:r w:rsidRPr="00A633FA">
        <w:rPr>
          <w:rFonts w:ascii="Arial" w:eastAsia="Arial" w:hAnsi="Arial" w:cs="Arial"/>
          <w:sz w:val="22"/>
          <w:szCs w:val="22"/>
          <w:highlight w:val="white"/>
        </w:rPr>
        <w:t>De las constancias de autos y de las afirmaciones realizadas por las partes, se advierten los siguientes hechos relevantes.</w:t>
      </w:r>
    </w:p>
    <w:p w14:paraId="79843270" w14:textId="77777777" w:rsidR="00743998" w:rsidRPr="00A633FA" w:rsidRDefault="00743998" w:rsidP="00743998">
      <w:pPr>
        <w:pBdr>
          <w:top w:val="nil"/>
          <w:left w:val="nil"/>
          <w:bottom w:val="nil"/>
          <w:right w:val="nil"/>
          <w:between w:val="nil"/>
        </w:pBdr>
        <w:tabs>
          <w:tab w:val="left" w:pos="567"/>
        </w:tabs>
        <w:spacing w:line="360" w:lineRule="auto"/>
        <w:ind w:right="36"/>
        <w:jc w:val="both"/>
        <w:rPr>
          <w:rFonts w:ascii="Arial" w:eastAsia="Arial Nova" w:hAnsi="Arial" w:cs="Arial"/>
          <w:sz w:val="22"/>
          <w:szCs w:val="22"/>
        </w:rPr>
      </w:pPr>
    </w:p>
    <w:p w14:paraId="5F8FE0FB" w14:textId="7A8F418C" w:rsidR="00743998" w:rsidRPr="00A633FA" w:rsidRDefault="00743998" w:rsidP="00743998">
      <w:pPr>
        <w:pBdr>
          <w:top w:val="nil"/>
          <w:left w:val="nil"/>
          <w:bottom w:val="nil"/>
          <w:right w:val="nil"/>
          <w:between w:val="nil"/>
        </w:pBdr>
        <w:tabs>
          <w:tab w:val="left" w:pos="567"/>
        </w:tabs>
        <w:spacing w:line="360" w:lineRule="auto"/>
        <w:ind w:right="36"/>
        <w:jc w:val="both"/>
        <w:rPr>
          <w:rFonts w:ascii="Arial" w:eastAsia="Arial Nova" w:hAnsi="Arial" w:cs="Arial"/>
          <w:b/>
          <w:sz w:val="22"/>
          <w:szCs w:val="22"/>
        </w:rPr>
      </w:pPr>
      <w:bookmarkStart w:id="3" w:name="_1fob9te" w:colFirst="0" w:colLast="0"/>
      <w:bookmarkEnd w:id="3"/>
      <w:r w:rsidRPr="00A633FA">
        <w:rPr>
          <w:rFonts w:ascii="Arial" w:eastAsia="Arial Nova" w:hAnsi="Arial" w:cs="Arial"/>
          <w:b/>
          <w:sz w:val="22"/>
          <w:szCs w:val="22"/>
        </w:rPr>
        <w:t xml:space="preserve">1.1. Proceso Electoral. </w:t>
      </w:r>
      <w:r w:rsidRPr="00A633FA">
        <w:rPr>
          <w:rFonts w:ascii="Arial" w:eastAsia="Arial Nova" w:hAnsi="Arial" w:cs="Arial"/>
          <w:bCs/>
          <w:sz w:val="22"/>
          <w:szCs w:val="22"/>
        </w:rPr>
        <w:t>El tres de noviembre de dos mil veinte, dio inicio el proceso electoral concurrente ordinario</w:t>
      </w:r>
      <w:r w:rsidR="00672CF2">
        <w:rPr>
          <w:rFonts w:ascii="Arial" w:eastAsia="Arial Nova" w:hAnsi="Arial" w:cs="Arial"/>
          <w:bCs/>
          <w:sz w:val="22"/>
          <w:szCs w:val="22"/>
        </w:rPr>
        <w:t xml:space="preserve"> 2020-2021</w:t>
      </w:r>
      <w:r w:rsidRPr="00A633FA">
        <w:rPr>
          <w:rFonts w:ascii="Arial" w:eastAsia="Arial Nova" w:hAnsi="Arial" w:cs="Arial"/>
          <w:bCs/>
          <w:sz w:val="22"/>
          <w:szCs w:val="22"/>
        </w:rPr>
        <w:t xml:space="preserve"> para la renovación de los Ayuntamientos y Diputaciones del Estado de Aguascalientes.</w:t>
      </w:r>
      <w:r w:rsidRPr="00A633FA">
        <w:rPr>
          <w:rFonts w:ascii="Arial" w:eastAsia="Arial Nova" w:hAnsi="Arial" w:cs="Arial"/>
          <w:b/>
          <w:sz w:val="22"/>
          <w:szCs w:val="22"/>
        </w:rPr>
        <w:t xml:space="preserve"> </w:t>
      </w:r>
    </w:p>
    <w:p w14:paraId="191C4AEC" w14:textId="77777777" w:rsidR="00D7107E" w:rsidRPr="00A633FA" w:rsidRDefault="00D7107E" w:rsidP="00743998">
      <w:pPr>
        <w:pBdr>
          <w:top w:val="nil"/>
          <w:left w:val="nil"/>
          <w:bottom w:val="nil"/>
          <w:right w:val="nil"/>
          <w:between w:val="nil"/>
        </w:pBdr>
        <w:tabs>
          <w:tab w:val="left" w:pos="567"/>
        </w:tabs>
        <w:spacing w:line="360" w:lineRule="auto"/>
        <w:ind w:right="36"/>
        <w:jc w:val="both"/>
        <w:rPr>
          <w:rFonts w:ascii="Arial" w:eastAsia="Arial Nova" w:hAnsi="Arial" w:cs="Arial"/>
          <w:b/>
          <w:sz w:val="22"/>
          <w:szCs w:val="22"/>
        </w:rPr>
      </w:pPr>
    </w:p>
    <w:p w14:paraId="5867ECE9" w14:textId="76B28DE4" w:rsidR="0008061B" w:rsidRDefault="0008061B" w:rsidP="0008061B">
      <w:pPr>
        <w:pBdr>
          <w:top w:val="nil"/>
          <w:left w:val="nil"/>
          <w:bottom w:val="nil"/>
          <w:right w:val="nil"/>
          <w:between w:val="nil"/>
        </w:pBdr>
        <w:tabs>
          <w:tab w:val="left" w:pos="567"/>
        </w:tabs>
        <w:spacing w:line="360" w:lineRule="auto"/>
        <w:ind w:right="36"/>
        <w:jc w:val="both"/>
        <w:rPr>
          <w:rFonts w:ascii="Arial" w:eastAsia="Arial Nova" w:hAnsi="Arial" w:cs="Arial"/>
          <w:b/>
          <w:sz w:val="22"/>
          <w:szCs w:val="22"/>
        </w:rPr>
      </w:pPr>
      <w:r w:rsidRPr="00A633FA">
        <w:rPr>
          <w:rFonts w:ascii="Arial" w:eastAsia="Arial Nova" w:hAnsi="Arial" w:cs="Arial"/>
          <w:b/>
          <w:sz w:val="22"/>
          <w:szCs w:val="22"/>
        </w:rPr>
        <w:t>1.</w:t>
      </w:r>
      <w:r>
        <w:rPr>
          <w:rFonts w:ascii="Arial" w:eastAsia="Arial Nova" w:hAnsi="Arial" w:cs="Arial"/>
          <w:b/>
          <w:sz w:val="22"/>
          <w:szCs w:val="22"/>
        </w:rPr>
        <w:t>2</w:t>
      </w:r>
      <w:r w:rsidRPr="00A633FA">
        <w:rPr>
          <w:rFonts w:ascii="Arial" w:eastAsia="Arial Nova" w:hAnsi="Arial" w:cs="Arial"/>
          <w:b/>
          <w:sz w:val="22"/>
          <w:szCs w:val="22"/>
        </w:rPr>
        <w:t xml:space="preserve">. </w:t>
      </w:r>
      <w:r>
        <w:rPr>
          <w:rFonts w:ascii="Arial" w:eastAsia="Arial Nova" w:hAnsi="Arial" w:cs="Arial"/>
          <w:b/>
          <w:sz w:val="22"/>
          <w:szCs w:val="22"/>
        </w:rPr>
        <w:t>Registro de candidaturas</w:t>
      </w:r>
      <w:r w:rsidRPr="00A633FA">
        <w:rPr>
          <w:rFonts w:ascii="Arial" w:eastAsia="Arial Nova" w:hAnsi="Arial" w:cs="Arial"/>
          <w:b/>
          <w:sz w:val="22"/>
          <w:szCs w:val="22"/>
        </w:rPr>
        <w:t xml:space="preserve">. </w:t>
      </w:r>
      <w:r>
        <w:rPr>
          <w:rFonts w:ascii="Arial" w:eastAsia="Arial Nova" w:hAnsi="Arial" w:cs="Arial"/>
          <w:bCs/>
          <w:sz w:val="22"/>
          <w:szCs w:val="22"/>
        </w:rPr>
        <w:t>Del quince al veinte de marzo, se llevó a cabo el plazo para el registro de las candidaturas a diputaciones por el principio de mayoría relativa ante los Consejos Distritales.</w:t>
      </w:r>
      <w:r w:rsidRPr="00A633FA">
        <w:rPr>
          <w:rFonts w:ascii="Arial" w:eastAsia="Arial Nova" w:hAnsi="Arial" w:cs="Arial"/>
          <w:b/>
          <w:sz w:val="22"/>
          <w:szCs w:val="22"/>
        </w:rPr>
        <w:t xml:space="preserve"> </w:t>
      </w:r>
    </w:p>
    <w:p w14:paraId="3AFA5F03" w14:textId="321BC13E" w:rsidR="0008061B" w:rsidRDefault="0008061B" w:rsidP="0008061B">
      <w:pPr>
        <w:pBdr>
          <w:top w:val="nil"/>
          <w:left w:val="nil"/>
          <w:bottom w:val="nil"/>
          <w:right w:val="nil"/>
          <w:between w:val="nil"/>
        </w:pBdr>
        <w:tabs>
          <w:tab w:val="left" w:pos="567"/>
        </w:tabs>
        <w:spacing w:line="360" w:lineRule="auto"/>
        <w:ind w:right="36"/>
        <w:jc w:val="both"/>
        <w:rPr>
          <w:rFonts w:ascii="Arial" w:eastAsia="Arial Nova" w:hAnsi="Arial" w:cs="Arial"/>
          <w:b/>
          <w:sz w:val="22"/>
          <w:szCs w:val="22"/>
        </w:rPr>
      </w:pPr>
    </w:p>
    <w:p w14:paraId="10D6722D" w14:textId="6CCC4A19" w:rsidR="0008061B" w:rsidRPr="00A633FA" w:rsidRDefault="0008061B" w:rsidP="0008061B">
      <w:pPr>
        <w:pBdr>
          <w:top w:val="nil"/>
          <w:left w:val="nil"/>
          <w:bottom w:val="nil"/>
          <w:right w:val="nil"/>
          <w:between w:val="nil"/>
        </w:pBdr>
        <w:tabs>
          <w:tab w:val="left" w:pos="567"/>
        </w:tabs>
        <w:spacing w:line="360" w:lineRule="auto"/>
        <w:ind w:right="36"/>
        <w:jc w:val="both"/>
        <w:rPr>
          <w:rFonts w:ascii="Arial" w:eastAsia="Arial Nova" w:hAnsi="Arial" w:cs="Arial"/>
          <w:b/>
          <w:sz w:val="22"/>
          <w:szCs w:val="22"/>
        </w:rPr>
      </w:pPr>
      <w:r w:rsidRPr="00A633FA">
        <w:rPr>
          <w:rFonts w:ascii="Arial" w:eastAsia="Arial Nova" w:hAnsi="Arial" w:cs="Arial"/>
          <w:b/>
          <w:sz w:val="22"/>
          <w:szCs w:val="22"/>
        </w:rPr>
        <w:t>1.</w:t>
      </w:r>
      <w:r>
        <w:rPr>
          <w:rFonts w:ascii="Arial" w:eastAsia="Arial Nova" w:hAnsi="Arial" w:cs="Arial"/>
          <w:b/>
          <w:sz w:val="22"/>
          <w:szCs w:val="22"/>
        </w:rPr>
        <w:t>3</w:t>
      </w:r>
      <w:r w:rsidRPr="00A633FA">
        <w:rPr>
          <w:rFonts w:ascii="Arial" w:eastAsia="Arial Nova" w:hAnsi="Arial" w:cs="Arial"/>
          <w:b/>
          <w:sz w:val="22"/>
          <w:szCs w:val="22"/>
        </w:rPr>
        <w:t xml:space="preserve">. </w:t>
      </w:r>
      <w:r>
        <w:rPr>
          <w:rFonts w:ascii="Arial" w:eastAsia="Arial Nova" w:hAnsi="Arial" w:cs="Arial"/>
          <w:b/>
          <w:sz w:val="22"/>
          <w:szCs w:val="22"/>
        </w:rPr>
        <w:t>Aprobación de la formula</w:t>
      </w:r>
      <w:r w:rsidRPr="00A633FA">
        <w:rPr>
          <w:rFonts w:ascii="Arial" w:eastAsia="Arial Nova" w:hAnsi="Arial" w:cs="Arial"/>
          <w:b/>
          <w:sz w:val="22"/>
          <w:szCs w:val="22"/>
        </w:rPr>
        <w:t xml:space="preserve">. </w:t>
      </w:r>
      <w:r>
        <w:rPr>
          <w:rFonts w:ascii="Arial" w:eastAsia="Arial Nova" w:hAnsi="Arial" w:cs="Arial"/>
          <w:bCs/>
          <w:sz w:val="22"/>
          <w:szCs w:val="22"/>
        </w:rPr>
        <w:t>El veinticinco de marzo, el Consejo Distrital Electoral XV aprobó la fórmula de candidatura a diputadas de MORENA, integrada por las CC. Leslie Mayela Figueroa Treviño como propietaria, y Berenice Anahí Romo Tapia como suplente.</w:t>
      </w:r>
      <w:r w:rsidRPr="00A633FA">
        <w:rPr>
          <w:rFonts w:ascii="Arial" w:eastAsia="Arial Nova" w:hAnsi="Arial" w:cs="Arial"/>
          <w:b/>
          <w:sz w:val="22"/>
          <w:szCs w:val="22"/>
        </w:rPr>
        <w:t xml:space="preserve"> </w:t>
      </w:r>
    </w:p>
    <w:p w14:paraId="6DD1487A" w14:textId="77777777" w:rsidR="0008061B" w:rsidRPr="00A633FA" w:rsidRDefault="0008061B" w:rsidP="0008061B">
      <w:pPr>
        <w:pBdr>
          <w:top w:val="nil"/>
          <w:left w:val="nil"/>
          <w:bottom w:val="nil"/>
          <w:right w:val="nil"/>
          <w:between w:val="nil"/>
        </w:pBdr>
        <w:tabs>
          <w:tab w:val="left" w:pos="567"/>
        </w:tabs>
        <w:spacing w:line="360" w:lineRule="auto"/>
        <w:ind w:right="36"/>
        <w:jc w:val="both"/>
        <w:rPr>
          <w:rFonts w:ascii="Arial" w:eastAsia="Arial Nova" w:hAnsi="Arial" w:cs="Arial"/>
          <w:b/>
          <w:sz w:val="22"/>
          <w:szCs w:val="22"/>
        </w:rPr>
      </w:pPr>
    </w:p>
    <w:p w14:paraId="47481346" w14:textId="77777777" w:rsidR="0008061B" w:rsidRDefault="0008061B" w:rsidP="0008061B">
      <w:pPr>
        <w:pBdr>
          <w:top w:val="nil"/>
          <w:left w:val="nil"/>
          <w:bottom w:val="nil"/>
          <w:right w:val="nil"/>
          <w:between w:val="nil"/>
        </w:pBdr>
        <w:tabs>
          <w:tab w:val="left" w:pos="567"/>
        </w:tabs>
        <w:spacing w:line="360" w:lineRule="auto"/>
        <w:ind w:right="36"/>
        <w:jc w:val="both"/>
        <w:rPr>
          <w:rFonts w:ascii="Arial" w:eastAsia="Arial Nova" w:hAnsi="Arial" w:cs="Arial"/>
          <w:bCs/>
          <w:sz w:val="22"/>
          <w:szCs w:val="22"/>
        </w:rPr>
      </w:pPr>
      <w:r w:rsidRPr="00A633FA">
        <w:rPr>
          <w:rFonts w:ascii="Arial" w:eastAsia="Arial Nova" w:hAnsi="Arial" w:cs="Arial"/>
          <w:b/>
          <w:sz w:val="22"/>
          <w:szCs w:val="22"/>
        </w:rPr>
        <w:t>1.</w:t>
      </w:r>
      <w:r>
        <w:rPr>
          <w:rFonts w:ascii="Arial" w:eastAsia="Arial Nova" w:hAnsi="Arial" w:cs="Arial"/>
          <w:b/>
          <w:sz w:val="22"/>
          <w:szCs w:val="22"/>
        </w:rPr>
        <w:t>4</w:t>
      </w:r>
      <w:r w:rsidRPr="00A633FA">
        <w:rPr>
          <w:rFonts w:ascii="Arial" w:eastAsia="Arial Nova" w:hAnsi="Arial" w:cs="Arial"/>
          <w:b/>
          <w:sz w:val="22"/>
          <w:szCs w:val="22"/>
        </w:rPr>
        <w:t xml:space="preserve">. </w:t>
      </w:r>
      <w:r>
        <w:rPr>
          <w:rFonts w:ascii="Arial" w:eastAsia="Arial Nova" w:hAnsi="Arial" w:cs="Arial"/>
          <w:b/>
          <w:sz w:val="22"/>
          <w:szCs w:val="22"/>
        </w:rPr>
        <w:t>Jornada Electoral</w:t>
      </w:r>
      <w:r w:rsidRPr="00A633FA">
        <w:rPr>
          <w:rFonts w:ascii="Arial" w:eastAsia="Arial Nova" w:hAnsi="Arial" w:cs="Arial"/>
          <w:b/>
          <w:sz w:val="22"/>
          <w:szCs w:val="22"/>
        </w:rPr>
        <w:t xml:space="preserve">. </w:t>
      </w:r>
      <w:r>
        <w:rPr>
          <w:rFonts w:ascii="Arial" w:eastAsia="Arial Nova" w:hAnsi="Arial" w:cs="Arial"/>
          <w:bCs/>
          <w:sz w:val="22"/>
          <w:szCs w:val="22"/>
        </w:rPr>
        <w:t>El seis de junio, se llevó a cabo la jornada electoral para elegir a quienes integrarán el H. Congreso del Estado, así como a integrantes de los H. Ayuntamientos de la entidad.</w:t>
      </w:r>
    </w:p>
    <w:p w14:paraId="4527E295" w14:textId="77777777" w:rsidR="0008061B" w:rsidRDefault="0008061B" w:rsidP="0008061B">
      <w:pPr>
        <w:pBdr>
          <w:top w:val="nil"/>
          <w:left w:val="nil"/>
          <w:bottom w:val="nil"/>
          <w:right w:val="nil"/>
          <w:between w:val="nil"/>
        </w:pBdr>
        <w:tabs>
          <w:tab w:val="left" w:pos="567"/>
        </w:tabs>
        <w:spacing w:line="360" w:lineRule="auto"/>
        <w:ind w:right="36"/>
        <w:jc w:val="both"/>
        <w:rPr>
          <w:rFonts w:ascii="Arial" w:eastAsia="Arial Nova" w:hAnsi="Arial" w:cs="Arial"/>
          <w:bCs/>
          <w:sz w:val="22"/>
          <w:szCs w:val="22"/>
        </w:rPr>
      </w:pPr>
    </w:p>
    <w:p w14:paraId="08598800" w14:textId="77777777" w:rsidR="006028CB" w:rsidRPr="006028CB" w:rsidRDefault="006028CB" w:rsidP="006028CB">
      <w:pPr>
        <w:pBdr>
          <w:top w:val="nil"/>
          <w:left w:val="nil"/>
          <w:bottom w:val="nil"/>
          <w:right w:val="nil"/>
          <w:between w:val="nil"/>
        </w:pBdr>
        <w:tabs>
          <w:tab w:val="left" w:pos="567"/>
        </w:tabs>
        <w:spacing w:line="360" w:lineRule="auto"/>
        <w:ind w:right="36"/>
        <w:jc w:val="both"/>
        <w:rPr>
          <w:rFonts w:ascii="Arial" w:eastAsia="Arial Nova" w:hAnsi="Arial" w:cs="Arial"/>
          <w:sz w:val="22"/>
          <w:szCs w:val="22"/>
        </w:rPr>
      </w:pPr>
      <w:r w:rsidRPr="006028CB">
        <w:rPr>
          <w:rFonts w:ascii="Arial" w:eastAsia="Arial Nova" w:hAnsi="Arial" w:cs="Arial"/>
          <w:b/>
          <w:bCs/>
          <w:sz w:val="22"/>
          <w:szCs w:val="22"/>
        </w:rPr>
        <w:t>1.5. Aprobación de cómputo.</w:t>
      </w:r>
      <w:r w:rsidRPr="006028CB">
        <w:rPr>
          <w:rFonts w:ascii="Arial" w:eastAsia="Arial Nova" w:hAnsi="Arial" w:cs="Arial"/>
          <w:sz w:val="22"/>
          <w:szCs w:val="22"/>
        </w:rPr>
        <w:t xml:space="preserve"> El trece de junio, el Consejo General del IEE, celebró sesión extraordinaria permanente en la que se aprobó el “COMPUTO DE LA VOTACIÓN VALIDA EMITIDA EN EL ESTADO PARA LA ELECCIÓN DE DIPUTACIONES DE MAYORÍA RELATIVA PARA EFECTOS DE LA ASIGNACIÓN DE DIPUTACIONES POR EL PRINCIPIO DE REPRESENTACIÓN PROPORCIONAL”.</w:t>
      </w:r>
    </w:p>
    <w:p w14:paraId="6DC324EA" w14:textId="77777777" w:rsidR="006028CB" w:rsidRPr="006028CB" w:rsidRDefault="006028CB" w:rsidP="006028CB">
      <w:pPr>
        <w:pBdr>
          <w:top w:val="nil"/>
          <w:left w:val="nil"/>
          <w:bottom w:val="nil"/>
          <w:right w:val="nil"/>
          <w:between w:val="nil"/>
        </w:pBdr>
        <w:tabs>
          <w:tab w:val="left" w:pos="567"/>
        </w:tabs>
        <w:spacing w:line="360" w:lineRule="auto"/>
        <w:ind w:right="36"/>
        <w:jc w:val="both"/>
        <w:rPr>
          <w:rFonts w:ascii="Arial" w:eastAsia="Arial Nova" w:hAnsi="Arial" w:cs="Arial"/>
          <w:sz w:val="22"/>
          <w:szCs w:val="22"/>
        </w:rPr>
      </w:pPr>
    </w:p>
    <w:p w14:paraId="726C18B2" w14:textId="77777777" w:rsidR="006028CB" w:rsidRPr="006028CB" w:rsidRDefault="006028CB" w:rsidP="006028CB">
      <w:pPr>
        <w:pBdr>
          <w:top w:val="nil"/>
          <w:left w:val="nil"/>
          <w:bottom w:val="nil"/>
          <w:right w:val="nil"/>
          <w:between w:val="nil"/>
        </w:pBdr>
        <w:tabs>
          <w:tab w:val="left" w:pos="567"/>
        </w:tabs>
        <w:spacing w:line="360" w:lineRule="auto"/>
        <w:ind w:right="36"/>
        <w:jc w:val="both"/>
        <w:rPr>
          <w:rFonts w:ascii="Arial" w:eastAsia="Arial Nova" w:hAnsi="Arial" w:cs="Arial"/>
          <w:sz w:val="22"/>
          <w:szCs w:val="22"/>
        </w:rPr>
      </w:pPr>
      <w:r w:rsidRPr="006028CB">
        <w:rPr>
          <w:rFonts w:ascii="Arial" w:eastAsia="Arial Nova" w:hAnsi="Arial" w:cs="Arial"/>
          <w:b/>
          <w:bCs/>
          <w:sz w:val="22"/>
          <w:szCs w:val="22"/>
        </w:rPr>
        <w:t>1.6. Asignación de Diputaciones.</w:t>
      </w:r>
      <w:r w:rsidRPr="006028CB">
        <w:rPr>
          <w:rFonts w:ascii="Arial" w:eastAsia="Arial Nova" w:hAnsi="Arial" w:cs="Arial"/>
          <w:sz w:val="22"/>
          <w:szCs w:val="22"/>
        </w:rPr>
        <w:t xml:space="preserve"> El trece de junio el Consejo General del IEE aprobó el “ACUERDO DEL CONSEJO GENERAL DEL INSTITUTO ESTATAL ELECTORAL, MEDIANTE EL CUAL SE ASIGNAN LAS DIPUTACIONES POR EL PRINCIPIO DE REPRESENTACIÓN PROPORCIONAL, EN EL PROCESO ELECTORAL CONCURRENTE ORDINARIO 2020-2021”</w:t>
      </w:r>
      <w:r w:rsidRPr="006028CB">
        <w:rPr>
          <w:rStyle w:val="Refdenotaalpie"/>
          <w:rFonts w:ascii="Arial" w:eastAsia="Arial Nova" w:hAnsi="Arial" w:cs="Arial"/>
          <w:sz w:val="22"/>
          <w:szCs w:val="22"/>
        </w:rPr>
        <w:footnoteReference w:id="2"/>
      </w:r>
      <w:r w:rsidRPr="006028CB">
        <w:rPr>
          <w:rFonts w:ascii="Arial" w:eastAsia="Arial Nova" w:hAnsi="Arial" w:cs="Arial"/>
          <w:sz w:val="22"/>
          <w:szCs w:val="22"/>
        </w:rPr>
        <w:t>, quedando de la siguiente manera:</w:t>
      </w:r>
    </w:p>
    <w:p w14:paraId="5715CD37" w14:textId="6D82D2E0" w:rsidR="006028CB" w:rsidRDefault="006028CB" w:rsidP="0008061B">
      <w:pPr>
        <w:pBdr>
          <w:top w:val="nil"/>
          <w:left w:val="nil"/>
          <w:bottom w:val="nil"/>
          <w:right w:val="nil"/>
          <w:between w:val="nil"/>
        </w:pBdr>
        <w:tabs>
          <w:tab w:val="left" w:pos="567"/>
        </w:tabs>
        <w:spacing w:line="360" w:lineRule="auto"/>
        <w:ind w:right="36"/>
        <w:jc w:val="both"/>
        <w:rPr>
          <w:rFonts w:ascii="Arial" w:eastAsia="Arial Nova" w:hAnsi="Arial" w:cs="Arial"/>
          <w:b/>
          <w:sz w:val="22"/>
          <w:szCs w:val="22"/>
        </w:rPr>
      </w:pPr>
    </w:p>
    <w:p w14:paraId="1EF380F4" w14:textId="60820696" w:rsidR="006028CB" w:rsidRPr="006028CB" w:rsidRDefault="006028CB" w:rsidP="006028CB">
      <w:pPr>
        <w:pBdr>
          <w:top w:val="nil"/>
          <w:left w:val="nil"/>
          <w:bottom w:val="nil"/>
          <w:right w:val="nil"/>
          <w:between w:val="nil"/>
        </w:pBdr>
        <w:tabs>
          <w:tab w:val="left" w:pos="567"/>
        </w:tabs>
        <w:spacing w:line="360" w:lineRule="auto"/>
        <w:ind w:right="36"/>
        <w:jc w:val="both"/>
        <w:rPr>
          <w:rFonts w:ascii="Arial" w:eastAsia="Arial Nova" w:hAnsi="Arial" w:cs="Arial"/>
          <w:sz w:val="22"/>
          <w:szCs w:val="22"/>
        </w:rPr>
      </w:pPr>
      <w:r w:rsidRPr="006028CB">
        <w:rPr>
          <w:rFonts w:ascii="Arial" w:eastAsia="Arial Nova" w:hAnsi="Arial" w:cs="Arial"/>
          <w:b/>
          <w:bCs/>
          <w:sz w:val="22"/>
          <w:szCs w:val="22"/>
        </w:rPr>
        <w:t>1.</w:t>
      </w:r>
      <w:r>
        <w:rPr>
          <w:rFonts w:ascii="Arial" w:eastAsia="Arial Nova" w:hAnsi="Arial" w:cs="Arial"/>
          <w:b/>
          <w:bCs/>
          <w:sz w:val="22"/>
          <w:szCs w:val="22"/>
        </w:rPr>
        <w:t>7</w:t>
      </w:r>
      <w:r w:rsidRPr="006028CB">
        <w:rPr>
          <w:rFonts w:ascii="Arial" w:eastAsia="Arial Nova" w:hAnsi="Arial" w:cs="Arial"/>
          <w:b/>
          <w:bCs/>
          <w:sz w:val="22"/>
          <w:szCs w:val="22"/>
        </w:rPr>
        <w:t xml:space="preserve">. </w:t>
      </w:r>
      <w:r>
        <w:rPr>
          <w:rFonts w:ascii="Arial" w:eastAsia="Arial Nova" w:hAnsi="Arial" w:cs="Arial"/>
          <w:b/>
          <w:bCs/>
          <w:sz w:val="22"/>
          <w:szCs w:val="22"/>
        </w:rPr>
        <w:t>Medio de impugnación</w:t>
      </w:r>
      <w:r w:rsidRPr="006028CB">
        <w:rPr>
          <w:rFonts w:ascii="Arial" w:eastAsia="Arial Nova" w:hAnsi="Arial" w:cs="Arial"/>
          <w:b/>
          <w:bCs/>
          <w:sz w:val="22"/>
          <w:szCs w:val="22"/>
        </w:rPr>
        <w:t>.</w:t>
      </w:r>
      <w:r w:rsidRPr="006028CB">
        <w:rPr>
          <w:rFonts w:ascii="Arial" w:eastAsia="Arial Nova" w:hAnsi="Arial" w:cs="Arial"/>
          <w:sz w:val="22"/>
          <w:szCs w:val="22"/>
        </w:rPr>
        <w:t xml:space="preserve"> El </w:t>
      </w:r>
      <w:r>
        <w:rPr>
          <w:rFonts w:ascii="Arial" w:eastAsia="Arial Nova" w:hAnsi="Arial" w:cs="Arial"/>
          <w:sz w:val="22"/>
          <w:szCs w:val="22"/>
        </w:rPr>
        <w:t xml:space="preserve">veintitrés de julio, la promovente interpuso en el IEE el juicio objeto del presente asunto, en el cual invoca la inelegibilidad de la propietaria de la </w:t>
      </w:r>
      <w:proofErr w:type="spellStart"/>
      <w:r>
        <w:rPr>
          <w:rFonts w:ascii="Arial" w:eastAsia="Arial Nova" w:hAnsi="Arial" w:cs="Arial"/>
          <w:sz w:val="22"/>
          <w:szCs w:val="22"/>
        </w:rPr>
        <w:t>formula</w:t>
      </w:r>
      <w:proofErr w:type="spellEnd"/>
      <w:r>
        <w:rPr>
          <w:rFonts w:ascii="Arial" w:eastAsia="Arial Nova" w:hAnsi="Arial" w:cs="Arial"/>
          <w:sz w:val="22"/>
          <w:szCs w:val="22"/>
        </w:rPr>
        <w:t xml:space="preserve"> de la cual es parte.</w:t>
      </w:r>
    </w:p>
    <w:p w14:paraId="639A7496" w14:textId="77777777" w:rsidR="00087B52" w:rsidRDefault="00087B52" w:rsidP="00947AFE">
      <w:pPr>
        <w:pBdr>
          <w:top w:val="nil"/>
          <w:left w:val="nil"/>
          <w:bottom w:val="nil"/>
          <w:right w:val="nil"/>
          <w:between w:val="nil"/>
        </w:pBdr>
        <w:tabs>
          <w:tab w:val="left" w:pos="567"/>
        </w:tabs>
        <w:spacing w:line="360" w:lineRule="auto"/>
        <w:ind w:right="36"/>
        <w:jc w:val="both"/>
        <w:rPr>
          <w:rFonts w:ascii="Arial" w:eastAsia="Arial Nova" w:hAnsi="Arial" w:cs="Arial"/>
          <w:sz w:val="22"/>
          <w:szCs w:val="22"/>
        </w:rPr>
      </w:pPr>
    </w:p>
    <w:p w14:paraId="0EFCB875" w14:textId="71FCFFBB" w:rsidR="0028404C" w:rsidRPr="002139AB" w:rsidRDefault="008D61DD" w:rsidP="008D61DD">
      <w:pPr>
        <w:pStyle w:val="Ttulo1"/>
        <w:keepLines w:val="0"/>
        <w:spacing w:before="0" w:line="360" w:lineRule="auto"/>
        <w:jc w:val="both"/>
        <w:rPr>
          <w:rFonts w:ascii="Arial" w:eastAsia="Arial" w:hAnsi="Arial" w:cs="Arial"/>
          <w:b/>
          <w:bCs/>
          <w:color w:val="auto"/>
          <w:sz w:val="22"/>
          <w:szCs w:val="22"/>
          <w:highlight w:val="white"/>
        </w:rPr>
      </w:pPr>
      <w:bookmarkStart w:id="4" w:name="_Toc69406587"/>
      <w:r>
        <w:rPr>
          <w:rFonts w:ascii="Arial" w:eastAsia="Times New Roman" w:hAnsi="Arial" w:cs="Arial"/>
          <w:b/>
          <w:bCs/>
          <w:color w:val="auto"/>
          <w:sz w:val="22"/>
          <w:szCs w:val="22"/>
        </w:rPr>
        <w:t xml:space="preserve">2. </w:t>
      </w:r>
      <w:r w:rsidR="00B200C6" w:rsidRPr="002139AB">
        <w:rPr>
          <w:rFonts w:ascii="Arial" w:eastAsia="Times New Roman" w:hAnsi="Arial" w:cs="Arial"/>
          <w:b/>
          <w:bCs/>
          <w:color w:val="auto"/>
          <w:sz w:val="22"/>
          <w:szCs w:val="22"/>
        </w:rPr>
        <w:t>CO</w:t>
      </w:r>
      <w:r w:rsidR="003B0BB1">
        <w:rPr>
          <w:rFonts w:ascii="Arial" w:eastAsia="Times New Roman" w:hAnsi="Arial" w:cs="Arial"/>
          <w:b/>
          <w:bCs/>
          <w:color w:val="auto"/>
          <w:sz w:val="22"/>
          <w:szCs w:val="22"/>
        </w:rPr>
        <w:t>MPETENCIA</w:t>
      </w:r>
      <w:r w:rsidR="00EA44A4" w:rsidRPr="002139AB">
        <w:rPr>
          <w:rFonts w:ascii="Arial" w:eastAsia="Arial" w:hAnsi="Arial" w:cs="Arial"/>
          <w:b/>
          <w:bCs/>
          <w:color w:val="auto"/>
          <w:sz w:val="22"/>
          <w:szCs w:val="22"/>
        </w:rPr>
        <w:t>.</w:t>
      </w:r>
      <w:bookmarkEnd w:id="4"/>
      <w:r w:rsidR="00EA44A4" w:rsidRPr="002139AB">
        <w:rPr>
          <w:rFonts w:ascii="Arial" w:eastAsia="Arial" w:hAnsi="Arial" w:cs="Arial"/>
          <w:b/>
          <w:bCs/>
          <w:color w:val="auto"/>
          <w:sz w:val="22"/>
          <w:szCs w:val="22"/>
        </w:rPr>
        <w:t xml:space="preserve"> </w:t>
      </w:r>
    </w:p>
    <w:p w14:paraId="103D1003" w14:textId="77777777" w:rsidR="0028404C" w:rsidRPr="002139AB" w:rsidRDefault="0028404C" w:rsidP="00B200C6">
      <w:pPr>
        <w:pStyle w:val="Sinespaciado"/>
        <w:rPr>
          <w:rFonts w:eastAsia="Arial"/>
          <w:sz w:val="22"/>
          <w:szCs w:val="22"/>
        </w:rPr>
      </w:pPr>
    </w:p>
    <w:p w14:paraId="5EFD9E13" w14:textId="5D5194C2" w:rsidR="00E121A0" w:rsidRDefault="008D61DD" w:rsidP="008D61DD">
      <w:pPr>
        <w:pStyle w:val="NormalWeb"/>
        <w:spacing w:before="0" w:beforeAutospacing="0" w:after="0" w:afterAutospacing="0" w:line="360" w:lineRule="auto"/>
        <w:jc w:val="both"/>
        <w:rPr>
          <w:rFonts w:ascii="Arial" w:hAnsi="Arial" w:cs="Arial"/>
          <w:color w:val="000000"/>
          <w:sz w:val="23"/>
          <w:szCs w:val="23"/>
        </w:rPr>
      </w:pPr>
      <w:r w:rsidRPr="00C143B6">
        <w:rPr>
          <w:rFonts w:ascii="Arial" w:hAnsi="Arial" w:cs="Arial"/>
          <w:color w:val="000000"/>
          <w:sz w:val="23"/>
          <w:szCs w:val="23"/>
        </w:rPr>
        <w:t xml:space="preserve">Este Tribunal </w:t>
      </w:r>
      <w:r>
        <w:rPr>
          <w:rFonts w:ascii="Arial" w:hAnsi="Arial" w:cs="Arial"/>
          <w:color w:val="000000"/>
          <w:sz w:val="23"/>
          <w:szCs w:val="23"/>
        </w:rPr>
        <w:t xml:space="preserve">Electoral </w:t>
      </w:r>
      <w:r w:rsidRPr="00C143B6">
        <w:rPr>
          <w:rFonts w:ascii="Arial" w:hAnsi="Arial" w:cs="Arial"/>
          <w:color w:val="000000"/>
          <w:sz w:val="23"/>
          <w:szCs w:val="23"/>
        </w:rPr>
        <w:t xml:space="preserve">es competente para </w:t>
      </w:r>
      <w:r w:rsidR="00712817">
        <w:rPr>
          <w:rFonts w:ascii="Arial" w:hAnsi="Arial" w:cs="Arial"/>
          <w:color w:val="000000"/>
          <w:sz w:val="23"/>
          <w:szCs w:val="23"/>
        </w:rPr>
        <w:t xml:space="preserve">conocer y </w:t>
      </w:r>
      <w:r w:rsidRPr="00C143B6">
        <w:rPr>
          <w:rFonts w:ascii="Arial" w:hAnsi="Arial" w:cs="Arial"/>
          <w:color w:val="000000"/>
          <w:sz w:val="23"/>
          <w:szCs w:val="23"/>
        </w:rPr>
        <w:t xml:space="preserve">resolver </w:t>
      </w:r>
      <w:r>
        <w:rPr>
          <w:rFonts w:ascii="Arial" w:hAnsi="Arial" w:cs="Arial"/>
          <w:color w:val="000000"/>
          <w:sz w:val="23"/>
          <w:szCs w:val="23"/>
        </w:rPr>
        <w:t>el</w:t>
      </w:r>
      <w:r w:rsidRPr="00C143B6">
        <w:rPr>
          <w:rFonts w:ascii="Arial" w:hAnsi="Arial" w:cs="Arial"/>
          <w:color w:val="000000"/>
          <w:sz w:val="23"/>
          <w:szCs w:val="23"/>
        </w:rPr>
        <w:t xml:space="preserve"> presente </w:t>
      </w:r>
      <w:r w:rsidR="00133C36">
        <w:rPr>
          <w:rFonts w:ascii="Arial" w:hAnsi="Arial" w:cs="Arial"/>
          <w:color w:val="000000"/>
          <w:sz w:val="23"/>
          <w:szCs w:val="23"/>
        </w:rPr>
        <w:t>Juicio Ciudadano</w:t>
      </w:r>
      <w:r>
        <w:rPr>
          <w:rFonts w:ascii="Arial" w:hAnsi="Arial" w:cs="Arial"/>
          <w:color w:val="000000"/>
          <w:sz w:val="23"/>
          <w:szCs w:val="23"/>
        </w:rPr>
        <w:t>,</w:t>
      </w:r>
      <w:r w:rsidRPr="00C143B6">
        <w:rPr>
          <w:rFonts w:ascii="Arial" w:hAnsi="Arial" w:cs="Arial"/>
          <w:color w:val="000000"/>
          <w:sz w:val="23"/>
          <w:szCs w:val="23"/>
        </w:rPr>
        <w:t xml:space="preserve"> promovido en contr</w:t>
      </w:r>
      <w:r w:rsidR="001A1C7D">
        <w:rPr>
          <w:rFonts w:ascii="Arial" w:hAnsi="Arial" w:cs="Arial"/>
          <w:color w:val="000000"/>
          <w:sz w:val="23"/>
          <w:szCs w:val="23"/>
        </w:rPr>
        <w:t xml:space="preserve">a </w:t>
      </w:r>
      <w:r w:rsidR="00133C36">
        <w:rPr>
          <w:rFonts w:ascii="Arial" w:hAnsi="Arial" w:cs="Arial"/>
          <w:color w:val="000000"/>
          <w:sz w:val="23"/>
          <w:szCs w:val="23"/>
        </w:rPr>
        <w:t xml:space="preserve">de una supuesta omisión del IEE dentro de </w:t>
      </w:r>
      <w:r w:rsidR="00F308A1">
        <w:rPr>
          <w:rFonts w:ascii="Arial" w:hAnsi="Arial" w:cs="Arial"/>
          <w:color w:val="000000"/>
          <w:sz w:val="23"/>
          <w:szCs w:val="23"/>
        </w:rPr>
        <w:t>la etapa de</w:t>
      </w:r>
      <w:r w:rsidR="00133C36">
        <w:rPr>
          <w:rFonts w:ascii="Arial" w:hAnsi="Arial" w:cs="Arial"/>
          <w:color w:val="000000"/>
          <w:sz w:val="23"/>
          <w:szCs w:val="23"/>
        </w:rPr>
        <w:t xml:space="preserve"> asignación de diputaciones por el principio de representación </w:t>
      </w:r>
      <w:r w:rsidR="00F308A1">
        <w:rPr>
          <w:rFonts w:ascii="Arial" w:hAnsi="Arial" w:cs="Arial"/>
          <w:color w:val="000000"/>
          <w:sz w:val="23"/>
          <w:szCs w:val="23"/>
        </w:rPr>
        <w:t>proporcional</w:t>
      </w:r>
      <w:r w:rsidR="00133C36">
        <w:rPr>
          <w:rFonts w:ascii="Arial" w:hAnsi="Arial" w:cs="Arial"/>
          <w:color w:val="000000"/>
          <w:sz w:val="23"/>
          <w:szCs w:val="23"/>
        </w:rPr>
        <w:t>.</w:t>
      </w:r>
    </w:p>
    <w:p w14:paraId="25375EB3" w14:textId="77777777" w:rsidR="008D61DD" w:rsidRPr="00C143B6" w:rsidRDefault="008D61DD" w:rsidP="008D61DD">
      <w:pPr>
        <w:pStyle w:val="NormalWeb"/>
        <w:spacing w:before="0" w:beforeAutospacing="0" w:after="0" w:afterAutospacing="0" w:line="360" w:lineRule="auto"/>
        <w:jc w:val="both"/>
        <w:rPr>
          <w:rFonts w:ascii="Arial" w:hAnsi="Arial" w:cs="Arial"/>
          <w:color w:val="000000"/>
          <w:sz w:val="23"/>
          <w:szCs w:val="23"/>
        </w:rPr>
      </w:pPr>
    </w:p>
    <w:p w14:paraId="2033AD01" w14:textId="77777777" w:rsidR="0098481F" w:rsidRPr="008F5556" w:rsidRDefault="0098481F" w:rsidP="0098481F">
      <w:pPr>
        <w:pStyle w:val="NormalWeb"/>
        <w:spacing w:before="0" w:beforeAutospacing="0" w:after="0" w:afterAutospacing="0" w:line="360" w:lineRule="auto"/>
        <w:jc w:val="both"/>
        <w:rPr>
          <w:rFonts w:ascii="Arial" w:hAnsi="Arial" w:cs="Arial"/>
          <w:color w:val="000000"/>
          <w:sz w:val="23"/>
          <w:szCs w:val="23"/>
        </w:rPr>
      </w:pPr>
      <w:r w:rsidRPr="008F5556">
        <w:rPr>
          <w:rFonts w:ascii="Arial" w:hAnsi="Arial" w:cs="Arial"/>
          <w:color w:val="000000"/>
          <w:sz w:val="23"/>
          <w:szCs w:val="23"/>
        </w:rPr>
        <w:t xml:space="preserve">Lo anterior de conformidad con lo previsto por los artículos 116 fracción IV inciso m) de la Constitución Política de los Estados Unidos Mexicanos, y 297, fracción III, 338, 339, fracción IV, </w:t>
      </w:r>
      <w:r w:rsidRPr="008F5556">
        <w:rPr>
          <w:rFonts w:ascii="Arial" w:hAnsi="Arial" w:cs="Arial"/>
          <w:bCs/>
          <w:sz w:val="23"/>
          <w:szCs w:val="23"/>
          <w:lang w:val="es-ES_tradnl"/>
        </w:rPr>
        <w:t xml:space="preserve">339, 343, 344 </w:t>
      </w:r>
      <w:r w:rsidRPr="008F5556">
        <w:rPr>
          <w:rFonts w:ascii="Arial" w:hAnsi="Arial" w:cs="Arial"/>
          <w:color w:val="000000"/>
          <w:sz w:val="23"/>
          <w:szCs w:val="23"/>
        </w:rPr>
        <w:t>y 354 del Código Electoral.</w:t>
      </w:r>
    </w:p>
    <w:p w14:paraId="336AA3EE" w14:textId="11E83AE8" w:rsidR="001C4ECF" w:rsidRPr="002139AB" w:rsidRDefault="001C4ECF">
      <w:pPr>
        <w:pBdr>
          <w:top w:val="nil"/>
          <w:left w:val="nil"/>
          <w:bottom w:val="nil"/>
          <w:right w:val="nil"/>
          <w:between w:val="nil"/>
        </w:pBdr>
        <w:tabs>
          <w:tab w:val="center" w:pos="4819"/>
        </w:tabs>
        <w:spacing w:line="360" w:lineRule="auto"/>
        <w:ind w:right="49"/>
        <w:jc w:val="both"/>
        <w:rPr>
          <w:rFonts w:ascii="Arial" w:eastAsia="Arial" w:hAnsi="Arial" w:cs="Arial"/>
          <w:sz w:val="22"/>
          <w:szCs w:val="22"/>
        </w:rPr>
      </w:pPr>
    </w:p>
    <w:p w14:paraId="16217FFB" w14:textId="77777777" w:rsidR="003B0BB1" w:rsidRDefault="003B0BB1">
      <w:pPr>
        <w:spacing w:line="360" w:lineRule="auto"/>
        <w:jc w:val="both"/>
        <w:rPr>
          <w:rFonts w:ascii="Arial" w:eastAsia="Arial" w:hAnsi="Arial" w:cs="Arial"/>
          <w:sz w:val="22"/>
          <w:szCs w:val="22"/>
        </w:rPr>
      </w:pPr>
      <w:r>
        <w:rPr>
          <w:rFonts w:ascii="Arial" w:eastAsia="Arial" w:hAnsi="Arial" w:cs="Arial"/>
          <w:b/>
          <w:sz w:val="22"/>
          <w:szCs w:val="22"/>
        </w:rPr>
        <w:t>3.</w:t>
      </w:r>
      <w:r w:rsidR="00EA44A4" w:rsidRPr="002139AB">
        <w:rPr>
          <w:rFonts w:ascii="Arial" w:eastAsia="Arial" w:hAnsi="Arial" w:cs="Arial"/>
          <w:b/>
          <w:sz w:val="22"/>
          <w:szCs w:val="22"/>
        </w:rPr>
        <w:t xml:space="preserve"> </w:t>
      </w:r>
      <w:r>
        <w:rPr>
          <w:rFonts w:ascii="Arial" w:eastAsia="Arial" w:hAnsi="Arial" w:cs="Arial"/>
          <w:b/>
          <w:sz w:val="22"/>
          <w:szCs w:val="22"/>
        </w:rPr>
        <w:t>IMPROCEDENCIA</w:t>
      </w:r>
      <w:r w:rsidR="00EA44A4" w:rsidRPr="002139AB">
        <w:rPr>
          <w:rFonts w:ascii="Arial" w:eastAsia="Arial" w:hAnsi="Arial" w:cs="Arial"/>
          <w:b/>
          <w:sz w:val="22"/>
          <w:szCs w:val="22"/>
        </w:rPr>
        <w:t>.</w:t>
      </w:r>
      <w:r w:rsidR="00EA44A4" w:rsidRPr="002139AB">
        <w:rPr>
          <w:rFonts w:ascii="Arial" w:eastAsia="Arial" w:hAnsi="Arial" w:cs="Arial"/>
          <w:sz w:val="22"/>
          <w:szCs w:val="22"/>
        </w:rPr>
        <w:t xml:space="preserve"> </w:t>
      </w:r>
    </w:p>
    <w:p w14:paraId="54567E49" w14:textId="77777777" w:rsidR="003B0BB1" w:rsidRDefault="003B0BB1">
      <w:pPr>
        <w:spacing w:line="360" w:lineRule="auto"/>
        <w:jc w:val="both"/>
        <w:rPr>
          <w:rFonts w:ascii="Arial" w:eastAsia="Arial" w:hAnsi="Arial" w:cs="Arial"/>
          <w:sz w:val="22"/>
          <w:szCs w:val="22"/>
        </w:rPr>
      </w:pPr>
    </w:p>
    <w:p w14:paraId="56E90AAC" w14:textId="44201792" w:rsidR="00E121A0" w:rsidRDefault="003B0BB1">
      <w:pPr>
        <w:spacing w:line="360" w:lineRule="auto"/>
        <w:jc w:val="both"/>
        <w:rPr>
          <w:rFonts w:ascii="Arial" w:eastAsia="Arial" w:hAnsi="Arial" w:cs="Arial"/>
          <w:sz w:val="22"/>
          <w:szCs w:val="22"/>
        </w:rPr>
      </w:pPr>
      <w:r>
        <w:rPr>
          <w:rFonts w:ascii="Arial" w:eastAsia="Arial" w:hAnsi="Arial" w:cs="Arial"/>
          <w:sz w:val="22"/>
          <w:szCs w:val="22"/>
        </w:rPr>
        <w:t>T</w:t>
      </w:r>
      <w:r w:rsidRPr="003B0BB1">
        <w:rPr>
          <w:rFonts w:ascii="Arial" w:eastAsia="Arial" w:hAnsi="Arial" w:cs="Arial"/>
          <w:sz w:val="22"/>
          <w:szCs w:val="22"/>
        </w:rPr>
        <w:t>oda vez que, las causales de improcedencia están relacionadas con aspectos necesarios para la válida constitución de un proceso jurisdiccional, y que, por tratarse, de cuestiones de orden público su estudio es preferente, y de oficio, con independencia de que se aleguen o no por las partes</w:t>
      </w:r>
      <w:r>
        <w:rPr>
          <w:rFonts w:ascii="Arial" w:eastAsia="Arial" w:hAnsi="Arial" w:cs="Arial"/>
          <w:sz w:val="22"/>
          <w:szCs w:val="22"/>
        </w:rPr>
        <w:t>.</w:t>
      </w:r>
    </w:p>
    <w:p w14:paraId="1E350ED6" w14:textId="7486F690" w:rsidR="003B0BB1" w:rsidRDefault="003B0BB1">
      <w:pPr>
        <w:spacing w:line="360" w:lineRule="auto"/>
        <w:jc w:val="both"/>
        <w:rPr>
          <w:rFonts w:ascii="Arial" w:eastAsia="Arial" w:hAnsi="Arial" w:cs="Arial"/>
          <w:sz w:val="22"/>
          <w:szCs w:val="22"/>
        </w:rPr>
      </w:pPr>
    </w:p>
    <w:p w14:paraId="0D394FB5" w14:textId="77777777" w:rsidR="00B04FFC" w:rsidRDefault="00B04FFC">
      <w:pPr>
        <w:spacing w:line="360" w:lineRule="auto"/>
        <w:jc w:val="both"/>
        <w:rPr>
          <w:rFonts w:ascii="Arial" w:eastAsia="Arial" w:hAnsi="Arial" w:cs="Arial"/>
          <w:sz w:val="22"/>
          <w:szCs w:val="22"/>
        </w:rPr>
      </w:pPr>
    </w:p>
    <w:p w14:paraId="0536EB57" w14:textId="77777777" w:rsidR="00B04FFC" w:rsidRDefault="00B04FFC">
      <w:pPr>
        <w:spacing w:line="360" w:lineRule="auto"/>
        <w:jc w:val="both"/>
        <w:rPr>
          <w:rFonts w:ascii="Arial" w:eastAsia="Arial" w:hAnsi="Arial" w:cs="Arial"/>
          <w:sz w:val="22"/>
          <w:szCs w:val="22"/>
        </w:rPr>
      </w:pPr>
    </w:p>
    <w:p w14:paraId="3F4E7534" w14:textId="77777777" w:rsidR="00B04FFC" w:rsidRDefault="00B04FFC">
      <w:pPr>
        <w:spacing w:line="360" w:lineRule="auto"/>
        <w:jc w:val="both"/>
        <w:rPr>
          <w:rFonts w:ascii="Arial" w:eastAsia="Arial" w:hAnsi="Arial" w:cs="Arial"/>
          <w:sz w:val="22"/>
          <w:szCs w:val="22"/>
        </w:rPr>
      </w:pPr>
    </w:p>
    <w:p w14:paraId="78ADF5CF" w14:textId="3FF33072" w:rsidR="003B0BB1" w:rsidRDefault="003B0BB1">
      <w:pPr>
        <w:spacing w:line="360" w:lineRule="auto"/>
        <w:jc w:val="both"/>
        <w:rPr>
          <w:rFonts w:ascii="Arial" w:eastAsia="Arial" w:hAnsi="Arial" w:cs="Arial"/>
          <w:sz w:val="22"/>
          <w:szCs w:val="22"/>
        </w:rPr>
      </w:pPr>
      <w:r w:rsidRPr="003B0BB1">
        <w:rPr>
          <w:rFonts w:ascii="Arial" w:eastAsia="Arial" w:hAnsi="Arial" w:cs="Arial"/>
          <w:sz w:val="22"/>
          <w:szCs w:val="22"/>
        </w:rPr>
        <w:t>Sirve de orientación, la Jurisprudencia II.1º. J/5 sustentada por el Primer Tribunal Colegiado del Segundo Circuito</w:t>
      </w:r>
      <w:r>
        <w:rPr>
          <w:rStyle w:val="Refdenotaalpie"/>
          <w:rFonts w:ascii="Arial" w:eastAsia="Arial" w:hAnsi="Arial" w:cs="Arial"/>
          <w:sz w:val="22"/>
          <w:szCs w:val="22"/>
        </w:rPr>
        <w:footnoteReference w:id="3"/>
      </w:r>
      <w:r w:rsidRPr="003B0BB1">
        <w:rPr>
          <w:rFonts w:ascii="Arial" w:eastAsia="Arial" w:hAnsi="Arial" w:cs="Arial"/>
          <w:sz w:val="22"/>
          <w:szCs w:val="22"/>
        </w:rPr>
        <w:t xml:space="preserve"> de rubro y texto:</w:t>
      </w:r>
    </w:p>
    <w:p w14:paraId="52028C40" w14:textId="290CAE3E" w:rsidR="003B0BB1" w:rsidRDefault="003B0BB1">
      <w:pPr>
        <w:spacing w:line="360" w:lineRule="auto"/>
        <w:jc w:val="both"/>
        <w:rPr>
          <w:rFonts w:ascii="Arial" w:eastAsia="Arial" w:hAnsi="Arial" w:cs="Arial"/>
          <w:sz w:val="22"/>
          <w:szCs w:val="22"/>
        </w:rPr>
      </w:pPr>
    </w:p>
    <w:p w14:paraId="66853951" w14:textId="1D011D38" w:rsidR="003B0BB1" w:rsidRPr="00F34FE4" w:rsidRDefault="003B0BB1" w:rsidP="008C059E">
      <w:pPr>
        <w:spacing w:line="360" w:lineRule="auto"/>
        <w:ind w:left="851" w:right="899"/>
        <w:jc w:val="both"/>
        <w:rPr>
          <w:rFonts w:ascii="Arial" w:eastAsia="Arial" w:hAnsi="Arial" w:cs="Arial"/>
          <w:i/>
          <w:iCs/>
          <w:sz w:val="22"/>
          <w:szCs w:val="22"/>
        </w:rPr>
      </w:pPr>
      <w:r w:rsidRPr="00F34FE4">
        <w:rPr>
          <w:rFonts w:ascii="Arial" w:eastAsia="Arial" w:hAnsi="Arial" w:cs="Arial"/>
          <w:b/>
          <w:bCs/>
          <w:i/>
          <w:iCs/>
          <w:sz w:val="22"/>
          <w:szCs w:val="22"/>
        </w:rPr>
        <w:t>IMPROCEDENCIA, CAUSALES EN EL JUICIO DE AMPARO</w:t>
      </w:r>
      <w:r w:rsidRPr="00F34FE4">
        <w:rPr>
          <w:rFonts w:ascii="Arial" w:eastAsia="Arial" w:hAnsi="Arial" w:cs="Arial"/>
          <w:i/>
          <w:iCs/>
          <w:sz w:val="22"/>
          <w:szCs w:val="22"/>
        </w:rPr>
        <w:t>. Las causales de improcedencia del juicio de amparo, por ser de orden público deben estudiarse previamente, lo aleguen o no las partes, cualquiera que sea la instancia…"</w:t>
      </w:r>
    </w:p>
    <w:p w14:paraId="7BC4ED00" w14:textId="158F0408" w:rsidR="008C059E" w:rsidRDefault="008C059E" w:rsidP="008C059E">
      <w:pPr>
        <w:spacing w:line="360" w:lineRule="auto"/>
        <w:ind w:right="616"/>
        <w:jc w:val="both"/>
        <w:rPr>
          <w:rFonts w:ascii="Arial" w:eastAsia="Arial" w:hAnsi="Arial" w:cs="Arial"/>
          <w:sz w:val="22"/>
          <w:szCs w:val="22"/>
        </w:rPr>
      </w:pPr>
    </w:p>
    <w:p w14:paraId="2A9A5C08" w14:textId="0AB95C8A" w:rsidR="008C059E" w:rsidRDefault="008C059E" w:rsidP="008C059E">
      <w:pPr>
        <w:spacing w:line="360" w:lineRule="auto"/>
        <w:jc w:val="both"/>
        <w:rPr>
          <w:rFonts w:ascii="Arial" w:eastAsia="Arial" w:hAnsi="Arial" w:cs="Arial"/>
          <w:sz w:val="22"/>
          <w:szCs w:val="22"/>
        </w:rPr>
      </w:pPr>
      <w:r>
        <w:rPr>
          <w:rFonts w:ascii="Arial" w:eastAsia="Arial" w:hAnsi="Arial" w:cs="Arial"/>
          <w:sz w:val="22"/>
          <w:szCs w:val="22"/>
        </w:rPr>
        <w:t xml:space="preserve">Lo anterior, en relación con lo establecido en el Código Electoral del Estado, que precisa en su artículo 301, que todos los recursos que se prevén en dicho ordenamiento, </w:t>
      </w:r>
      <w:r w:rsidRPr="008C059E">
        <w:rPr>
          <w:rFonts w:ascii="Arial" w:eastAsia="Arial" w:hAnsi="Arial" w:cs="Arial"/>
          <w:sz w:val="22"/>
          <w:szCs w:val="22"/>
        </w:rPr>
        <w:t>deberán presentarse dentro de los cuatro días siguientes, contados a partir del día siguiente de su notificación o aquél en que se tenga conocimiento del acto o resolución impugnado.</w:t>
      </w:r>
    </w:p>
    <w:p w14:paraId="041FC419" w14:textId="51B29BC4" w:rsidR="008C059E" w:rsidRDefault="008C059E" w:rsidP="008C059E">
      <w:pPr>
        <w:spacing w:line="360" w:lineRule="auto"/>
        <w:jc w:val="both"/>
        <w:rPr>
          <w:rFonts w:ascii="Arial" w:eastAsia="Arial" w:hAnsi="Arial" w:cs="Arial"/>
          <w:sz w:val="22"/>
          <w:szCs w:val="22"/>
        </w:rPr>
      </w:pPr>
    </w:p>
    <w:p w14:paraId="4C0EA03E" w14:textId="4F615F79" w:rsidR="008C059E" w:rsidRDefault="008C059E" w:rsidP="008C059E">
      <w:pPr>
        <w:spacing w:line="360" w:lineRule="auto"/>
        <w:jc w:val="both"/>
        <w:rPr>
          <w:rFonts w:ascii="Arial" w:eastAsia="Arial" w:hAnsi="Arial" w:cs="Arial"/>
          <w:sz w:val="22"/>
          <w:szCs w:val="22"/>
        </w:rPr>
      </w:pPr>
      <w:r w:rsidRPr="008C059E">
        <w:rPr>
          <w:rFonts w:ascii="Arial" w:eastAsia="Arial" w:hAnsi="Arial" w:cs="Arial"/>
          <w:sz w:val="22"/>
          <w:szCs w:val="22"/>
        </w:rPr>
        <w:t>Del imperativo anterior, se infiere que para que se actualice el desechamiento de plano de una demanda, es necesario que se encuentre un motivo de improcedencia de los establecidos en la ley de la materia, que genere certidumbre y plena convicción de que la referida causal se satisface en el caso concreto</w:t>
      </w:r>
    </w:p>
    <w:p w14:paraId="65987D38" w14:textId="2608CC80" w:rsidR="008C059E" w:rsidRDefault="008C059E" w:rsidP="008C059E">
      <w:pPr>
        <w:spacing w:line="360" w:lineRule="auto"/>
        <w:jc w:val="both"/>
        <w:rPr>
          <w:rFonts w:ascii="Arial" w:eastAsia="Arial" w:hAnsi="Arial" w:cs="Arial"/>
          <w:sz w:val="22"/>
          <w:szCs w:val="22"/>
        </w:rPr>
      </w:pPr>
    </w:p>
    <w:p w14:paraId="3A9A0758" w14:textId="261A45D8" w:rsidR="008C059E" w:rsidRDefault="008C059E" w:rsidP="008C059E">
      <w:pPr>
        <w:spacing w:line="360" w:lineRule="auto"/>
        <w:jc w:val="both"/>
        <w:rPr>
          <w:rFonts w:ascii="Arial" w:eastAsia="Arial" w:hAnsi="Arial" w:cs="Arial"/>
          <w:sz w:val="22"/>
          <w:szCs w:val="22"/>
        </w:rPr>
      </w:pPr>
      <w:r w:rsidRPr="008C059E">
        <w:rPr>
          <w:rFonts w:ascii="Arial" w:eastAsia="Arial" w:hAnsi="Arial" w:cs="Arial"/>
          <w:sz w:val="22"/>
          <w:szCs w:val="22"/>
        </w:rPr>
        <w:t>Así pues, la improcedencia es una institución jurídica procesal en la que, al presentarse determinadas circunstancias previstas en la ley aplicable, el órgano jurisdiccional se encuentra imposibilitado jurídicamente para analizar y resolver de fondo la cuestión planteada, lo que da como resultado el desechamiento de la demanda, o bien, el sobreseimiento en el juicio, según la etapa en que se encuentre.</w:t>
      </w:r>
    </w:p>
    <w:p w14:paraId="58F63E84" w14:textId="77777777" w:rsidR="00990566" w:rsidRDefault="00990566" w:rsidP="008C059E">
      <w:pPr>
        <w:spacing w:line="360" w:lineRule="auto"/>
        <w:jc w:val="both"/>
        <w:rPr>
          <w:rFonts w:ascii="Arial" w:eastAsia="Arial" w:hAnsi="Arial" w:cs="Arial"/>
          <w:sz w:val="22"/>
          <w:szCs w:val="22"/>
        </w:rPr>
      </w:pPr>
    </w:p>
    <w:p w14:paraId="13B6093B" w14:textId="4CF3AFE8" w:rsidR="003B0BB1" w:rsidRDefault="008C059E" w:rsidP="008C059E">
      <w:pPr>
        <w:spacing w:line="360" w:lineRule="auto"/>
        <w:jc w:val="both"/>
        <w:rPr>
          <w:rFonts w:ascii="Arial" w:eastAsia="Arial" w:hAnsi="Arial" w:cs="Arial"/>
          <w:sz w:val="22"/>
          <w:szCs w:val="22"/>
        </w:rPr>
      </w:pPr>
      <w:r w:rsidRPr="008C059E">
        <w:rPr>
          <w:rFonts w:ascii="Arial" w:eastAsia="Arial" w:hAnsi="Arial" w:cs="Arial"/>
          <w:sz w:val="22"/>
          <w:szCs w:val="22"/>
        </w:rPr>
        <w:t xml:space="preserve">Bajo este contexto, este órgano jurisdiccional advierte que se actualiza la causal de desechamiento por </w:t>
      </w:r>
      <w:r>
        <w:rPr>
          <w:rFonts w:ascii="Arial" w:eastAsia="Arial" w:hAnsi="Arial" w:cs="Arial"/>
          <w:sz w:val="22"/>
          <w:szCs w:val="22"/>
        </w:rPr>
        <w:t xml:space="preserve">improcedencia, derivado de la notoria </w:t>
      </w:r>
      <w:r w:rsidRPr="008C059E">
        <w:rPr>
          <w:rFonts w:ascii="Arial" w:eastAsia="Arial" w:hAnsi="Arial" w:cs="Arial"/>
          <w:sz w:val="22"/>
          <w:szCs w:val="22"/>
        </w:rPr>
        <w:t>extemporaneidad de la demanda</w:t>
      </w:r>
      <w:r>
        <w:rPr>
          <w:rFonts w:ascii="Arial" w:eastAsia="Arial" w:hAnsi="Arial" w:cs="Arial"/>
          <w:sz w:val="22"/>
          <w:szCs w:val="22"/>
        </w:rPr>
        <w:t>, de acuerdo a lo</w:t>
      </w:r>
      <w:r w:rsidRPr="008C059E">
        <w:rPr>
          <w:rFonts w:ascii="Arial" w:eastAsia="Arial" w:hAnsi="Arial" w:cs="Arial"/>
          <w:sz w:val="22"/>
          <w:szCs w:val="22"/>
        </w:rPr>
        <w:t xml:space="preserve"> previst</w:t>
      </w:r>
      <w:r>
        <w:rPr>
          <w:rFonts w:ascii="Arial" w:eastAsia="Arial" w:hAnsi="Arial" w:cs="Arial"/>
          <w:sz w:val="22"/>
          <w:szCs w:val="22"/>
        </w:rPr>
        <w:t xml:space="preserve">o en la fracción I del artículo 304 del Código Electoral del Estado, </w:t>
      </w:r>
      <w:r w:rsidRPr="008C059E">
        <w:rPr>
          <w:rFonts w:ascii="Arial" w:eastAsia="Arial" w:hAnsi="Arial" w:cs="Arial"/>
          <w:sz w:val="22"/>
          <w:szCs w:val="22"/>
        </w:rPr>
        <w:t>que en la parte conducente dispone:</w:t>
      </w:r>
      <w:bookmarkStart w:id="5" w:name="_Toc69406588"/>
    </w:p>
    <w:p w14:paraId="05E731A9" w14:textId="77777777" w:rsidR="008C059E" w:rsidRDefault="008C059E" w:rsidP="008C059E">
      <w:pPr>
        <w:spacing w:line="360" w:lineRule="auto"/>
        <w:ind w:left="851" w:right="899"/>
        <w:jc w:val="both"/>
        <w:rPr>
          <w:rFonts w:ascii="Arial" w:eastAsia="Arial" w:hAnsi="Arial" w:cs="Arial"/>
          <w:sz w:val="22"/>
          <w:szCs w:val="22"/>
        </w:rPr>
      </w:pPr>
    </w:p>
    <w:p w14:paraId="4998CCB4" w14:textId="4048F44E" w:rsidR="008C059E" w:rsidRPr="00AE6DB4" w:rsidRDefault="008C059E" w:rsidP="008C059E">
      <w:pPr>
        <w:spacing w:line="360" w:lineRule="auto"/>
        <w:ind w:left="851" w:right="899"/>
        <w:jc w:val="both"/>
        <w:rPr>
          <w:rFonts w:ascii="Arial" w:eastAsia="Arial" w:hAnsi="Arial" w:cs="Arial"/>
          <w:i/>
          <w:iCs/>
        </w:rPr>
      </w:pPr>
      <w:r w:rsidRPr="00AE6DB4">
        <w:rPr>
          <w:rFonts w:ascii="Arial" w:eastAsia="Arial" w:hAnsi="Arial" w:cs="Arial"/>
          <w:b/>
          <w:bCs/>
          <w:i/>
          <w:iCs/>
        </w:rPr>
        <w:t>ARTÍCULO 304</w:t>
      </w:r>
      <w:r w:rsidRPr="00AE6DB4">
        <w:rPr>
          <w:rFonts w:ascii="Arial" w:eastAsia="Arial" w:hAnsi="Arial" w:cs="Arial"/>
          <w:i/>
          <w:iCs/>
        </w:rPr>
        <w:t>.- Los recursos que regula este Código, se considerarán improcedentes en los siguientes casos:</w:t>
      </w:r>
    </w:p>
    <w:p w14:paraId="49D1301F" w14:textId="77777777" w:rsidR="00F34FE4" w:rsidRPr="00AE6DB4" w:rsidRDefault="00F34FE4" w:rsidP="008C059E">
      <w:pPr>
        <w:spacing w:line="360" w:lineRule="auto"/>
        <w:ind w:left="851" w:right="899"/>
        <w:jc w:val="both"/>
        <w:rPr>
          <w:rFonts w:ascii="Arial" w:eastAsia="Arial" w:hAnsi="Arial" w:cs="Arial"/>
          <w:i/>
          <w:iCs/>
        </w:rPr>
      </w:pPr>
    </w:p>
    <w:p w14:paraId="17A3BA4D" w14:textId="0331AE76" w:rsidR="008C059E" w:rsidRPr="00AE6DB4" w:rsidRDefault="008C059E" w:rsidP="008C059E">
      <w:pPr>
        <w:spacing w:line="360" w:lineRule="auto"/>
        <w:ind w:left="851" w:right="899"/>
        <w:jc w:val="both"/>
        <w:rPr>
          <w:rFonts w:ascii="Arial" w:eastAsia="Arial" w:hAnsi="Arial" w:cs="Arial"/>
          <w:i/>
          <w:iCs/>
        </w:rPr>
      </w:pPr>
      <w:r w:rsidRPr="00AE6DB4">
        <w:rPr>
          <w:rFonts w:ascii="Arial" w:eastAsia="Arial" w:hAnsi="Arial" w:cs="Arial"/>
          <w:b/>
          <w:bCs/>
          <w:i/>
          <w:iCs/>
        </w:rPr>
        <w:t>I.</w:t>
      </w:r>
      <w:r w:rsidRPr="00AE6DB4">
        <w:rPr>
          <w:rFonts w:ascii="Arial" w:eastAsia="Arial" w:hAnsi="Arial" w:cs="Arial"/>
          <w:i/>
          <w:iCs/>
        </w:rPr>
        <w:t xml:space="preserve"> Cuando los medios de impugnación procedentes no se hubieran interpuesto dentro del plazo señalado en este Código;</w:t>
      </w:r>
    </w:p>
    <w:p w14:paraId="23FEA7B5" w14:textId="7B747F21" w:rsidR="008C059E" w:rsidRDefault="008C059E" w:rsidP="008C059E">
      <w:pPr>
        <w:spacing w:line="360" w:lineRule="auto"/>
        <w:jc w:val="both"/>
        <w:rPr>
          <w:rFonts w:ascii="Arial" w:eastAsia="Arial" w:hAnsi="Arial" w:cs="Arial"/>
          <w:sz w:val="22"/>
          <w:szCs w:val="22"/>
        </w:rPr>
      </w:pPr>
    </w:p>
    <w:p w14:paraId="3F3E048F" w14:textId="39B055E0" w:rsidR="008C059E" w:rsidRDefault="008C059E" w:rsidP="008C059E">
      <w:pPr>
        <w:spacing w:line="360" w:lineRule="auto"/>
        <w:jc w:val="both"/>
        <w:rPr>
          <w:rFonts w:ascii="Arial" w:eastAsia="Arial" w:hAnsi="Arial" w:cs="Arial"/>
          <w:sz w:val="22"/>
          <w:szCs w:val="22"/>
        </w:rPr>
      </w:pPr>
      <w:r w:rsidRPr="008C059E">
        <w:rPr>
          <w:rFonts w:ascii="Arial" w:eastAsia="Arial" w:hAnsi="Arial" w:cs="Arial"/>
          <w:sz w:val="22"/>
          <w:szCs w:val="22"/>
        </w:rPr>
        <w:t xml:space="preserve">A criterio de este </w:t>
      </w:r>
      <w:r w:rsidR="009F1C33">
        <w:rPr>
          <w:rFonts w:ascii="Arial" w:eastAsia="Arial" w:hAnsi="Arial" w:cs="Arial"/>
          <w:sz w:val="22"/>
          <w:szCs w:val="22"/>
        </w:rPr>
        <w:t>Tribunal electoral,</w:t>
      </w:r>
      <w:r w:rsidRPr="008C059E">
        <w:rPr>
          <w:rFonts w:ascii="Arial" w:eastAsia="Arial" w:hAnsi="Arial" w:cs="Arial"/>
          <w:sz w:val="22"/>
          <w:szCs w:val="22"/>
        </w:rPr>
        <w:t xml:space="preserve"> se surte la causal de mérito, toda vez que la demanda del </w:t>
      </w:r>
      <w:r w:rsidR="009F1C33">
        <w:rPr>
          <w:rFonts w:ascii="Arial" w:eastAsia="Arial" w:hAnsi="Arial" w:cs="Arial"/>
          <w:sz w:val="22"/>
          <w:szCs w:val="22"/>
        </w:rPr>
        <w:t>recurso</w:t>
      </w:r>
      <w:r w:rsidRPr="008C059E">
        <w:rPr>
          <w:rFonts w:ascii="Arial" w:eastAsia="Arial" w:hAnsi="Arial" w:cs="Arial"/>
          <w:sz w:val="22"/>
          <w:szCs w:val="22"/>
        </w:rPr>
        <w:t xml:space="preserve"> que nos ocupa no fue presentada dentro del plazo de establecido en</w:t>
      </w:r>
      <w:r w:rsidR="00F34FE4">
        <w:rPr>
          <w:rFonts w:ascii="Arial" w:eastAsia="Arial" w:hAnsi="Arial" w:cs="Arial"/>
          <w:sz w:val="22"/>
          <w:szCs w:val="22"/>
        </w:rPr>
        <w:t xml:space="preserve"> el </w:t>
      </w:r>
      <w:r w:rsidR="00A354A5">
        <w:rPr>
          <w:rFonts w:ascii="Arial" w:eastAsia="Arial" w:hAnsi="Arial" w:cs="Arial"/>
          <w:sz w:val="22"/>
          <w:szCs w:val="22"/>
        </w:rPr>
        <w:t>artículo</w:t>
      </w:r>
      <w:r w:rsidR="00F34FE4">
        <w:rPr>
          <w:rFonts w:ascii="Arial" w:eastAsia="Arial" w:hAnsi="Arial" w:cs="Arial"/>
          <w:sz w:val="22"/>
          <w:szCs w:val="22"/>
        </w:rPr>
        <w:t xml:space="preserve"> 301 en relación con el 300</w:t>
      </w:r>
      <w:r w:rsidR="00A354A5">
        <w:rPr>
          <w:rFonts w:ascii="Arial" w:eastAsia="Arial" w:hAnsi="Arial" w:cs="Arial"/>
          <w:sz w:val="22"/>
          <w:szCs w:val="22"/>
        </w:rPr>
        <w:t>, ambos</w:t>
      </w:r>
      <w:r w:rsidR="00F34FE4">
        <w:rPr>
          <w:rFonts w:ascii="Arial" w:eastAsia="Arial" w:hAnsi="Arial" w:cs="Arial"/>
          <w:sz w:val="22"/>
          <w:szCs w:val="22"/>
        </w:rPr>
        <w:t xml:space="preserve"> del Código Electoral, que expresamente dispone</w:t>
      </w:r>
      <w:r w:rsidR="00A354A5">
        <w:rPr>
          <w:rFonts w:ascii="Arial" w:eastAsia="Arial" w:hAnsi="Arial" w:cs="Arial"/>
          <w:sz w:val="22"/>
          <w:szCs w:val="22"/>
        </w:rPr>
        <w:t>n</w:t>
      </w:r>
      <w:r w:rsidR="00F34FE4">
        <w:rPr>
          <w:rFonts w:ascii="Arial" w:eastAsia="Arial" w:hAnsi="Arial" w:cs="Arial"/>
          <w:sz w:val="22"/>
          <w:szCs w:val="22"/>
        </w:rPr>
        <w:t>:</w:t>
      </w:r>
    </w:p>
    <w:p w14:paraId="19318EE5" w14:textId="1D43A78F" w:rsidR="00F34FE4" w:rsidRDefault="00F34FE4" w:rsidP="008C059E">
      <w:pPr>
        <w:spacing w:line="360" w:lineRule="auto"/>
        <w:jc w:val="both"/>
        <w:rPr>
          <w:rFonts w:ascii="Arial" w:eastAsia="Arial" w:hAnsi="Arial" w:cs="Arial"/>
          <w:sz w:val="22"/>
          <w:szCs w:val="22"/>
        </w:rPr>
      </w:pPr>
    </w:p>
    <w:p w14:paraId="477FCD8C" w14:textId="190EDB71" w:rsidR="00F34FE4" w:rsidRPr="00AE6DB4" w:rsidRDefault="00F34FE4" w:rsidP="00F34FE4">
      <w:pPr>
        <w:spacing w:line="360" w:lineRule="auto"/>
        <w:ind w:left="851" w:right="899"/>
        <w:jc w:val="both"/>
        <w:rPr>
          <w:rFonts w:ascii="Arial" w:eastAsia="Arial" w:hAnsi="Arial" w:cs="Arial"/>
          <w:i/>
          <w:iCs/>
        </w:rPr>
      </w:pPr>
      <w:r w:rsidRPr="00AE6DB4">
        <w:rPr>
          <w:rFonts w:ascii="Arial" w:eastAsia="Arial" w:hAnsi="Arial" w:cs="Arial"/>
          <w:b/>
          <w:bCs/>
          <w:i/>
          <w:iCs/>
        </w:rPr>
        <w:t>ARTÍCULO 300.-</w:t>
      </w:r>
      <w:r w:rsidRPr="00AE6DB4">
        <w:rPr>
          <w:rFonts w:ascii="Arial" w:eastAsia="Arial" w:hAnsi="Arial" w:cs="Arial"/>
          <w:i/>
          <w:iCs/>
        </w:rPr>
        <w:t xml:space="preserve"> Durante los procesos electorales todos los días y horas son hábiles. Los plazos se computarán de momento a momento y si están señalados por días, éstos se considerarán de veinticuatro horas.</w:t>
      </w:r>
    </w:p>
    <w:p w14:paraId="6A0549CD" w14:textId="67ED2FD0" w:rsidR="00F34FE4" w:rsidRPr="00AE6DB4" w:rsidRDefault="00F34FE4" w:rsidP="00F34FE4">
      <w:pPr>
        <w:spacing w:line="360" w:lineRule="auto"/>
        <w:ind w:left="851" w:right="899"/>
        <w:jc w:val="both"/>
        <w:rPr>
          <w:rFonts w:ascii="Arial" w:eastAsia="Arial" w:hAnsi="Arial" w:cs="Arial"/>
          <w:i/>
          <w:iCs/>
        </w:rPr>
      </w:pPr>
    </w:p>
    <w:p w14:paraId="4028DD40" w14:textId="77777777" w:rsidR="00B04FFC" w:rsidRDefault="00B04FFC" w:rsidP="00F34FE4">
      <w:pPr>
        <w:spacing w:line="360" w:lineRule="auto"/>
        <w:ind w:left="851" w:right="899"/>
        <w:jc w:val="both"/>
        <w:rPr>
          <w:rFonts w:ascii="Arial" w:eastAsia="Arial" w:hAnsi="Arial" w:cs="Arial"/>
          <w:b/>
          <w:bCs/>
          <w:i/>
          <w:iCs/>
        </w:rPr>
      </w:pPr>
    </w:p>
    <w:p w14:paraId="3267769E" w14:textId="77777777" w:rsidR="00B04FFC" w:rsidRDefault="00B04FFC" w:rsidP="00F34FE4">
      <w:pPr>
        <w:spacing w:line="360" w:lineRule="auto"/>
        <w:ind w:left="851" w:right="899"/>
        <w:jc w:val="both"/>
        <w:rPr>
          <w:rFonts w:ascii="Arial" w:eastAsia="Arial" w:hAnsi="Arial" w:cs="Arial"/>
          <w:b/>
          <w:bCs/>
          <w:i/>
          <w:iCs/>
        </w:rPr>
      </w:pPr>
    </w:p>
    <w:p w14:paraId="11501F73" w14:textId="7ABCA734" w:rsidR="00F34FE4" w:rsidRPr="00AE6DB4" w:rsidRDefault="00F34FE4" w:rsidP="00F34FE4">
      <w:pPr>
        <w:spacing w:line="360" w:lineRule="auto"/>
        <w:ind w:left="851" w:right="899"/>
        <w:jc w:val="both"/>
        <w:rPr>
          <w:rFonts w:ascii="Arial" w:eastAsia="Arial" w:hAnsi="Arial" w:cs="Arial"/>
          <w:i/>
          <w:iCs/>
        </w:rPr>
      </w:pPr>
      <w:r w:rsidRPr="00AE6DB4">
        <w:rPr>
          <w:rFonts w:ascii="Arial" w:eastAsia="Arial" w:hAnsi="Arial" w:cs="Arial"/>
          <w:b/>
          <w:bCs/>
          <w:i/>
          <w:iCs/>
        </w:rPr>
        <w:t>ARTÍCULO 301.-</w:t>
      </w:r>
      <w:r w:rsidRPr="00AE6DB4">
        <w:rPr>
          <w:rFonts w:ascii="Arial" w:eastAsia="Arial" w:hAnsi="Arial" w:cs="Arial"/>
          <w:i/>
          <w:iCs/>
        </w:rPr>
        <w:t xml:space="preserve"> Los recursos previstos en este Código, deberán presentarse dentro de los </w:t>
      </w:r>
      <w:r w:rsidRPr="00133C36">
        <w:rPr>
          <w:rFonts w:ascii="Arial" w:eastAsia="Arial" w:hAnsi="Arial" w:cs="Arial"/>
          <w:b/>
          <w:bCs/>
          <w:i/>
          <w:iCs/>
        </w:rPr>
        <w:t>cuatro días</w:t>
      </w:r>
      <w:r w:rsidRPr="00AE6DB4">
        <w:rPr>
          <w:rFonts w:ascii="Arial" w:eastAsia="Arial" w:hAnsi="Arial" w:cs="Arial"/>
          <w:i/>
          <w:iCs/>
        </w:rPr>
        <w:t xml:space="preserve"> siguientes, contados a partir del día siguiente de su notificación o aquél en que se tenga conocimiento del acto o resolución impugnado.</w:t>
      </w:r>
    </w:p>
    <w:p w14:paraId="2EFF9538" w14:textId="43CB98AE" w:rsidR="00F34FE4" w:rsidRDefault="00F34FE4" w:rsidP="00F34FE4">
      <w:pPr>
        <w:spacing w:line="360" w:lineRule="auto"/>
        <w:ind w:right="899"/>
        <w:jc w:val="both"/>
        <w:rPr>
          <w:rFonts w:ascii="Arial" w:eastAsia="Arial" w:hAnsi="Arial" w:cs="Arial"/>
          <w:i/>
          <w:iCs/>
          <w:sz w:val="22"/>
          <w:szCs w:val="22"/>
        </w:rPr>
      </w:pPr>
    </w:p>
    <w:p w14:paraId="7EABD6A6" w14:textId="0C603566" w:rsidR="00F34FE4" w:rsidRDefault="00F34FE4" w:rsidP="00F34FE4">
      <w:pPr>
        <w:spacing w:line="360" w:lineRule="auto"/>
        <w:jc w:val="both"/>
        <w:rPr>
          <w:rFonts w:ascii="Arial" w:eastAsia="Arial" w:hAnsi="Arial" w:cs="Arial"/>
          <w:sz w:val="22"/>
          <w:szCs w:val="22"/>
        </w:rPr>
      </w:pPr>
      <w:r w:rsidRPr="00F34FE4">
        <w:rPr>
          <w:rFonts w:ascii="Arial" w:eastAsia="Arial" w:hAnsi="Arial" w:cs="Arial"/>
          <w:sz w:val="22"/>
          <w:szCs w:val="22"/>
        </w:rPr>
        <w:t xml:space="preserve">En efecto, de los </w:t>
      </w:r>
      <w:r>
        <w:rPr>
          <w:rFonts w:ascii="Arial" w:eastAsia="Arial" w:hAnsi="Arial" w:cs="Arial"/>
          <w:sz w:val="22"/>
          <w:szCs w:val="22"/>
        </w:rPr>
        <w:t>preceptos</w:t>
      </w:r>
      <w:r w:rsidRPr="00F34FE4">
        <w:rPr>
          <w:rFonts w:ascii="Arial" w:eastAsia="Arial" w:hAnsi="Arial" w:cs="Arial"/>
          <w:sz w:val="22"/>
          <w:szCs w:val="22"/>
        </w:rPr>
        <w:t xml:space="preserve"> en cita</w:t>
      </w:r>
      <w:r>
        <w:rPr>
          <w:rFonts w:ascii="Arial" w:eastAsia="Arial" w:hAnsi="Arial" w:cs="Arial"/>
          <w:sz w:val="22"/>
          <w:szCs w:val="22"/>
        </w:rPr>
        <w:t>,</w:t>
      </w:r>
      <w:r w:rsidRPr="00F34FE4">
        <w:rPr>
          <w:rFonts w:ascii="Arial" w:eastAsia="Arial" w:hAnsi="Arial" w:cs="Arial"/>
          <w:sz w:val="22"/>
          <w:szCs w:val="22"/>
        </w:rPr>
        <w:t xml:space="preserve"> se desprende que el </w:t>
      </w:r>
      <w:r>
        <w:rPr>
          <w:rFonts w:ascii="Arial" w:eastAsia="Arial" w:hAnsi="Arial" w:cs="Arial"/>
          <w:sz w:val="22"/>
          <w:szCs w:val="22"/>
        </w:rPr>
        <w:t>Recurso de Nulidad de mérito</w:t>
      </w:r>
      <w:r w:rsidRPr="00F34FE4">
        <w:rPr>
          <w:rFonts w:ascii="Arial" w:eastAsia="Arial" w:hAnsi="Arial" w:cs="Arial"/>
          <w:sz w:val="22"/>
          <w:szCs w:val="22"/>
        </w:rPr>
        <w:t>, se debe presentar dentro del término de cuatro días contados a partir del siguiente a aquél en que se tenga conocimiento del acto, acuerdo o resolución impugnada.</w:t>
      </w:r>
    </w:p>
    <w:p w14:paraId="388A00E8" w14:textId="0EC33793" w:rsidR="003B0BB1" w:rsidRDefault="003B0BB1" w:rsidP="003B0BB1"/>
    <w:p w14:paraId="0394B6E5" w14:textId="290C46C3" w:rsidR="0028404C" w:rsidRDefault="007D0AB8" w:rsidP="007D0AB8">
      <w:pPr>
        <w:pStyle w:val="Ttulo1"/>
        <w:keepLines w:val="0"/>
        <w:spacing w:before="0" w:line="360" w:lineRule="auto"/>
        <w:jc w:val="both"/>
        <w:rPr>
          <w:rFonts w:ascii="Arial" w:eastAsia="Times New Roman" w:hAnsi="Arial" w:cs="Arial"/>
          <w:b/>
          <w:bCs/>
          <w:color w:val="auto"/>
          <w:sz w:val="22"/>
          <w:szCs w:val="22"/>
        </w:rPr>
      </w:pPr>
      <w:bookmarkStart w:id="6" w:name="_Toc69406589"/>
      <w:bookmarkEnd w:id="5"/>
      <w:r>
        <w:rPr>
          <w:rFonts w:ascii="Arial" w:eastAsia="Times New Roman" w:hAnsi="Arial" w:cs="Arial"/>
          <w:b/>
          <w:bCs/>
          <w:color w:val="auto"/>
          <w:sz w:val="22"/>
          <w:szCs w:val="22"/>
        </w:rPr>
        <w:t xml:space="preserve">4. </w:t>
      </w:r>
      <w:bookmarkEnd w:id="6"/>
      <w:r w:rsidR="00F34FE4">
        <w:rPr>
          <w:rFonts w:ascii="Arial" w:eastAsia="Times New Roman" w:hAnsi="Arial" w:cs="Arial"/>
          <w:b/>
          <w:bCs/>
          <w:color w:val="auto"/>
          <w:sz w:val="22"/>
          <w:szCs w:val="22"/>
        </w:rPr>
        <w:t>CASO PARTICULAR</w:t>
      </w:r>
    </w:p>
    <w:p w14:paraId="57036E78" w14:textId="39B1E44F" w:rsidR="00133C36" w:rsidRDefault="00133C36" w:rsidP="00133C36"/>
    <w:p w14:paraId="6B5FBC31" w14:textId="6DD6A5E1" w:rsidR="00133C36" w:rsidRDefault="00F34FE4" w:rsidP="00133C36">
      <w:pPr>
        <w:tabs>
          <w:tab w:val="left" w:pos="1635"/>
        </w:tabs>
        <w:spacing w:line="360" w:lineRule="auto"/>
        <w:jc w:val="both"/>
        <w:rPr>
          <w:rFonts w:ascii="Arial" w:eastAsia="Arial" w:hAnsi="Arial" w:cs="Arial"/>
          <w:sz w:val="22"/>
          <w:szCs w:val="22"/>
        </w:rPr>
      </w:pPr>
      <w:r>
        <w:rPr>
          <w:rFonts w:ascii="Arial" w:eastAsia="Arial" w:hAnsi="Arial" w:cs="Arial"/>
          <w:sz w:val="22"/>
          <w:szCs w:val="22"/>
        </w:rPr>
        <w:t xml:space="preserve">La recurrente, </w:t>
      </w:r>
      <w:r w:rsidR="00133C36" w:rsidRPr="00133C36">
        <w:rPr>
          <w:rFonts w:ascii="Arial" w:eastAsia="Arial" w:hAnsi="Arial" w:cs="Arial"/>
          <w:sz w:val="22"/>
          <w:szCs w:val="22"/>
        </w:rPr>
        <w:t>en su carácter de candidata a diputada suplente, aduce que la propietaria de su fórmula no cum</w:t>
      </w:r>
      <w:r w:rsidR="00133C36">
        <w:rPr>
          <w:rFonts w:ascii="Arial" w:eastAsia="Arial" w:hAnsi="Arial" w:cs="Arial"/>
          <w:sz w:val="22"/>
          <w:szCs w:val="22"/>
        </w:rPr>
        <w:t xml:space="preserve">ple debidamente con los requisitos de elegibilidad para contender por la referida diputación, en consideración a que </w:t>
      </w:r>
      <w:r w:rsidR="00F053CE">
        <w:rPr>
          <w:rFonts w:ascii="Arial" w:eastAsia="Arial" w:hAnsi="Arial" w:cs="Arial"/>
          <w:sz w:val="22"/>
          <w:szCs w:val="22"/>
        </w:rPr>
        <w:t>é</w:t>
      </w:r>
      <w:r w:rsidR="00133C36">
        <w:rPr>
          <w:rFonts w:ascii="Arial" w:eastAsia="Arial" w:hAnsi="Arial" w:cs="Arial"/>
          <w:sz w:val="22"/>
          <w:szCs w:val="22"/>
        </w:rPr>
        <w:t>sta no es oriunda de Aguascalientes ni tiene una residencia efectiva no menor de cuatro años inmediatamente anteriores al día de la elección.</w:t>
      </w:r>
    </w:p>
    <w:p w14:paraId="680895CF" w14:textId="2C681625" w:rsidR="00133C36" w:rsidRDefault="00133C36" w:rsidP="00133C36">
      <w:pPr>
        <w:tabs>
          <w:tab w:val="left" w:pos="1635"/>
        </w:tabs>
        <w:spacing w:line="360" w:lineRule="auto"/>
        <w:jc w:val="both"/>
        <w:rPr>
          <w:rFonts w:ascii="Arial" w:eastAsia="Arial" w:hAnsi="Arial" w:cs="Arial"/>
          <w:sz w:val="22"/>
          <w:szCs w:val="22"/>
        </w:rPr>
      </w:pPr>
    </w:p>
    <w:p w14:paraId="30264B28" w14:textId="383C3ED3" w:rsidR="00133C36" w:rsidRDefault="00133C36" w:rsidP="00133C36">
      <w:pPr>
        <w:tabs>
          <w:tab w:val="left" w:pos="1635"/>
        </w:tabs>
        <w:spacing w:line="360" w:lineRule="auto"/>
        <w:jc w:val="both"/>
        <w:rPr>
          <w:rFonts w:ascii="Arial" w:eastAsia="Arial" w:hAnsi="Arial" w:cs="Arial"/>
          <w:sz w:val="22"/>
          <w:szCs w:val="22"/>
        </w:rPr>
      </w:pPr>
      <w:r>
        <w:rPr>
          <w:rFonts w:ascii="Arial" w:eastAsia="Arial" w:hAnsi="Arial" w:cs="Arial"/>
          <w:sz w:val="22"/>
          <w:szCs w:val="22"/>
        </w:rPr>
        <w:t xml:space="preserve">En esta tesitura, apunta un indebido análisis realizado por el IEE respecto al cumplimiento de los requisitos de elegibilidad, puesto que en una interpretación sistemática y funcional del primer párrafo del </w:t>
      </w:r>
      <w:r w:rsidR="00F053CE">
        <w:rPr>
          <w:rFonts w:ascii="Arial" w:eastAsia="Arial" w:hAnsi="Arial" w:cs="Arial"/>
          <w:sz w:val="22"/>
          <w:szCs w:val="22"/>
        </w:rPr>
        <w:t>artículo</w:t>
      </w:r>
      <w:r>
        <w:rPr>
          <w:rFonts w:ascii="Arial" w:eastAsia="Arial" w:hAnsi="Arial" w:cs="Arial"/>
          <w:sz w:val="22"/>
          <w:szCs w:val="22"/>
        </w:rPr>
        <w:t xml:space="preserve"> 154 del Código Electoral, corresponde al Consejo General verificar que se cumple con los requisitos constitucionales y legales por parte de las candidaturas antes de hacer la entrega de las constancias de asignación. </w:t>
      </w:r>
    </w:p>
    <w:p w14:paraId="4989EF96" w14:textId="4BB93C76" w:rsidR="00133C36" w:rsidRDefault="00133C36" w:rsidP="00133C36">
      <w:pPr>
        <w:tabs>
          <w:tab w:val="left" w:pos="1635"/>
        </w:tabs>
        <w:spacing w:line="360" w:lineRule="auto"/>
        <w:jc w:val="both"/>
        <w:rPr>
          <w:rFonts w:ascii="Arial" w:eastAsia="Arial" w:hAnsi="Arial" w:cs="Arial"/>
          <w:sz w:val="22"/>
          <w:szCs w:val="22"/>
        </w:rPr>
      </w:pPr>
    </w:p>
    <w:p w14:paraId="1C515515" w14:textId="55FD4330" w:rsidR="00133C36" w:rsidRDefault="00133C36" w:rsidP="00133C36">
      <w:pPr>
        <w:tabs>
          <w:tab w:val="left" w:pos="1635"/>
        </w:tabs>
        <w:spacing w:line="360" w:lineRule="auto"/>
        <w:jc w:val="both"/>
        <w:rPr>
          <w:rFonts w:ascii="Arial" w:eastAsia="Arial" w:hAnsi="Arial" w:cs="Arial"/>
          <w:sz w:val="22"/>
          <w:szCs w:val="22"/>
        </w:rPr>
      </w:pPr>
      <w:r>
        <w:rPr>
          <w:rFonts w:ascii="Arial" w:eastAsia="Arial" w:hAnsi="Arial" w:cs="Arial"/>
          <w:sz w:val="22"/>
          <w:szCs w:val="22"/>
        </w:rPr>
        <w:t>Cabe precisar que</w:t>
      </w:r>
      <w:r w:rsidR="00F308A1">
        <w:rPr>
          <w:rFonts w:ascii="Arial" w:eastAsia="Arial" w:hAnsi="Arial" w:cs="Arial"/>
          <w:sz w:val="22"/>
          <w:szCs w:val="22"/>
        </w:rPr>
        <w:t>,</w:t>
      </w:r>
      <w:r>
        <w:rPr>
          <w:rFonts w:ascii="Arial" w:eastAsia="Arial" w:hAnsi="Arial" w:cs="Arial"/>
          <w:sz w:val="22"/>
          <w:szCs w:val="22"/>
        </w:rPr>
        <w:t xml:space="preserve"> </w:t>
      </w:r>
      <w:r w:rsidR="00F308A1">
        <w:rPr>
          <w:rFonts w:ascii="Arial" w:eastAsia="Arial" w:hAnsi="Arial" w:cs="Arial"/>
          <w:sz w:val="22"/>
          <w:szCs w:val="22"/>
        </w:rPr>
        <w:t xml:space="preserve">la actora </w:t>
      </w:r>
      <w:r>
        <w:rPr>
          <w:rFonts w:ascii="Arial" w:eastAsia="Arial" w:hAnsi="Arial" w:cs="Arial"/>
          <w:sz w:val="22"/>
          <w:szCs w:val="22"/>
        </w:rPr>
        <w:t>sustenta su postura</w:t>
      </w:r>
      <w:r w:rsidR="005751F9">
        <w:rPr>
          <w:rFonts w:ascii="Arial" w:eastAsia="Arial" w:hAnsi="Arial" w:cs="Arial"/>
          <w:sz w:val="22"/>
          <w:szCs w:val="22"/>
        </w:rPr>
        <w:t>, exhibiendo</w:t>
      </w:r>
      <w:r>
        <w:rPr>
          <w:rFonts w:ascii="Arial" w:eastAsia="Arial" w:hAnsi="Arial" w:cs="Arial"/>
          <w:sz w:val="22"/>
          <w:szCs w:val="22"/>
        </w:rPr>
        <w:t xml:space="preserve"> la Clave Única de Registro de Población de </w:t>
      </w:r>
      <w:r w:rsidR="00F308A1">
        <w:rPr>
          <w:rFonts w:ascii="Arial" w:eastAsia="Arial" w:hAnsi="Arial" w:cs="Arial"/>
          <w:sz w:val="22"/>
          <w:szCs w:val="22"/>
        </w:rPr>
        <w:t>Leslie Mayela Figueroa Treviño,</w:t>
      </w:r>
      <w:r w:rsidR="005751F9">
        <w:rPr>
          <w:rFonts w:ascii="Arial" w:eastAsia="Arial" w:hAnsi="Arial" w:cs="Arial"/>
          <w:sz w:val="22"/>
          <w:szCs w:val="22"/>
        </w:rPr>
        <w:t xml:space="preserve"> </w:t>
      </w:r>
      <w:r w:rsidR="00F308A1">
        <w:rPr>
          <w:rFonts w:ascii="Arial" w:eastAsia="Arial" w:hAnsi="Arial" w:cs="Arial"/>
          <w:sz w:val="22"/>
          <w:szCs w:val="22"/>
        </w:rPr>
        <w:t xml:space="preserve">quien es la referida </w:t>
      </w:r>
      <w:r w:rsidR="005751F9">
        <w:rPr>
          <w:rFonts w:ascii="Arial" w:eastAsia="Arial" w:hAnsi="Arial" w:cs="Arial"/>
          <w:sz w:val="22"/>
          <w:szCs w:val="22"/>
        </w:rPr>
        <w:t>candidata propietaria</w:t>
      </w:r>
      <w:r w:rsidR="00F308A1">
        <w:rPr>
          <w:rFonts w:ascii="Arial" w:eastAsia="Arial" w:hAnsi="Arial" w:cs="Arial"/>
          <w:sz w:val="22"/>
          <w:szCs w:val="22"/>
        </w:rPr>
        <w:t>; de dicha constancia</w:t>
      </w:r>
      <w:r>
        <w:rPr>
          <w:rFonts w:ascii="Arial" w:eastAsia="Arial" w:hAnsi="Arial" w:cs="Arial"/>
          <w:sz w:val="22"/>
          <w:szCs w:val="22"/>
        </w:rPr>
        <w:t xml:space="preserve"> se advierte que la entidad </w:t>
      </w:r>
      <w:r w:rsidR="005751F9">
        <w:rPr>
          <w:rFonts w:ascii="Arial" w:eastAsia="Arial" w:hAnsi="Arial" w:cs="Arial"/>
          <w:sz w:val="22"/>
          <w:szCs w:val="22"/>
        </w:rPr>
        <w:t xml:space="preserve">en donde nació </w:t>
      </w:r>
      <w:r>
        <w:rPr>
          <w:rFonts w:ascii="Arial" w:eastAsia="Arial" w:hAnsi="Arial" w:cs="Arial"/>
          <w:sz w:val="22"/>
          <w:szCs w:val="22"/>
        </w:rPr>
        <w:t xml:space="preserve">fue el estado de Nuevo </w:t>
      </w:r>
      <w:r w:rsidR="005751F9">
        <w:rPr>
          <w:rFonts w:ascii="Arial" w:eastAsia="Arial" w:hAnsi="Arial" w:cs="Arial"/>
          <w:sz w:val="22"/>
          <w:szCs w:val="22"/>
        </w:rPr>
        <w:t>León</w:t>
      </w:r>
      <w:r>
        <w:rPr>
          <w:rFonts w:ascii="Arial" w:eastAsia="Arial" w:hAnsi="Arial" w:cs="Arial"/>
          <w:sz w:val="22"/>
          <w:szCs w:val="22"/>
        </w:rPr>
        <w:t xml:space="preserve">, </w:t>
      </w:r>
      <w:r w:rsidR="005751F9">
        <w:rPr>
          <w:rFonts w:ascii="Arial" w:eastAsia="Arial" w:hAnsi="Arial" w:cs="Arial"/>
          <w:sz w:val="22"/>
          <w:szCs w:val="22"/>
        </w:rPr>
        <w:t>además de que, su más reciente credencial para votar fue expedida en el año 2020 por lo que, estrictamente no puede acreditar la residencia efectiva tal y como es requerida en la normatividad.</w:t>
      </w:r>
    </w:p>
    <w:p w14:paraId="34F2B4AD" w14:textId="5E0A169B" w:rsidR="005751F9" w:rsidRDefault="005751F9" w:rsidP="00133C36">
      <w:pPr>
        <w:tabs>
          <w:tab w:val="left" w:pos="1635"/>
        </w:tabs>
        <w:spacing w:line="360" w:lineRule="auto"/>
        <w:jc w:val="both"/>
        <w:rPr>
          <w:rFonts w:ascii="Arial" w:eastAsia="Arial" w:hAnsi="Arial" w:cs="Arial"/>
          <w:sz w:val="22"/>
          <w:szCs w:val="22"/>
        </w:rPr>
      </w:pPr>
    </w:p>
    <w:p w14:paraId="44121645" w14:textId="78B98777" w:rsidR="005751F9" w:rsidRDefault="005751F9" w:rsidP="00133C36">
      <w:pPr>
        <w:tabs>
          <w:tab w:val="left" w:pos="1635"/>
        </w:tabs>
        <w:spacing w:line="360" w:lineRule="auto"/>
        <w:jc w:val="both"/>
        <w:rPr>
          <w:rFonts w:ascii="Arial" w:eastAsia="Arial" w:hAnsi="Arial" w:cs="Arial"/>
          <w:sz w:val="22"/>
          <w:szCs w:val="22"/>
        </w:rPr>
      </w:pPr>
      <w:r>
        <w:rPr>
          <w:rFonts w:ascii="Arial" w:eastAsia="Arial" w:hAnsi="Arial" w:cs="Arial"/>
          <w:sz w:val="22"/>
          <w:szCs w:val="22"/>
        </w:rPr>
        <w:t xml:space="preserve">Del mismo modo, la promovente apunta una </w:t>
      </w:r>
      <w:r w:rsidR="00F053CE">
        <w:rPr>
          <w:rFonts w:ascii="Arial" w:eastAsia="Arial" w:hAnsi="Arial" w:cs="Arial"/>
          <w:sz w:val="22"/>
          <w:szCs w:val="22"/>
        </w:rPr>
        <w:t>página</w:t>
      </w:r>
      <w:r>
        <w:rPr>
          <w:rFonts w:ascii="Arial" w:eastAsia="Arial" w:hAnsi="Arial" w:cs="Arial"/>
          <w:sz w:val="22"/>
          <w:szCs w:val="22"/>
        </w:rPr>
        <w:t xml:space="preserve"> de internet en la que se aprecia el perfil laboral de Leslie Mayela, en el cual se advierte que laboró hasta el año 2019 en la Ciudad de México, por lo que no existe un medio de convicción fehaciente para certificar la autenticidad de la residencia efectiva.</w:t>
      </w:r>
    </w:p>
    <w:p w14:paraId="7E9A2662" w14:textId="7ABF67C6" w:rsidR="005751F9" w:rsidRDefault="005751F9" w:rsidP="00133C36">
      <w:pPr>
        <w:tabs>
          <w:tab w:val="left" w:pos="1635"/>
        </w:tabs>
        <w:spacing w:line="360" w:lineRule="auto"/>
        <w:jc w:val="both"/>
        <w:rPr>
          <w:rFonts w:ascii="Arial" w:eastAsia="Arial" w:hAnsi="Arial" w:cs="Arial"/>
          <w:sz w:val="22"/>
          <w:szCs w:val="22"/>
        </w:rPr>
      </w:pPr>
    </w:p>
    <w:p w14:paraId="1A597041" w14:textId="2F8CE7F9" w:rsidR="004224ED" w:rsidRDefault="005751F9" w:rsidP="004224ED">
      <w:pPr>
        <w:pBdr>
          <w:top w:val="nil"/>
          <w:left w:val="nil"/>
          <w:bottom w:val="nil"/>
          <w:right w:val="nil"/>
          <w:between w:val="nil"/>
        </w:pBdr>
        <w:tabs>
          <w:tab w:val="left" w:pos="567"/>
        </w:tabs>
        <w:spacing w:line="360" w:lineRule="auto"/>
        <w:ind w:right="36"/>
        <w:jc w:val="both"/>
        <w:rPr>
          <w:rFonts w:ascii="Arial" w:eastAsia="Arial" w:hAnsi="Arial" w:cs="Arial"/>
          <w:sz w:val="22"/>
          <w:szCs w:val="22"/>
          <w:lang w:val="es-ES_tradnl"/>
        </w:rPr>
      </w:pPr>
      <w:r w:rsidRPr="005751F9">
        <w:rPr>
          <w:rFonts w:ascii="Arial" w:eastAsia="Arial" w:hAnsi="Arial" w:cs="Arial"/>
          <w:sz w:val="22"/>
          <w:szCs w:val="22"/>
          <w:lang w:val="es-ES_tradnl"/>
        </w:rPr>
        <w:t>Al respecto, este Tribunal</w:t>
      </w:r>
      <w:r w:rsidR="00F308A1">
        <w:rPr>
          <w:rFonts w:ascii="Arial" w:eastAsia="Arial" w:hAnsi="Arial" w:cs="Arial"/>
          <w:sz w:val="22"/>
          <w:szCs w:val="22"/>
          <w:lang w:val="es-ES_tradnl"/>
        </w:rPr>
        <w:t xml:space="preserve"> Electoral</w:t>
      </w:r>
      <w:r w:rsidRPr="005751F9">
        <w:rPr>
          <w:rFonts w:ascii="Arial" w:eastAsia="Arial" w:hAnsi="Arial" w:cs="Arial"/>
          <w:sz w:val="22"/>
          <w:szCs w:val="22"/>
          <w:lang w:val="es-ES_tradnl"/>
        </w:rPr>
        <w:t xml:space="preserve"> considera </w:t>
      </w:r>
      <w:r w:rsidR="00F308A1">
        <w:rPr>
          <w:rFonts w:ascii="Arial" w:eastAsia="Arial" w:hAnsi="Arial" w:cs="Arial"/>
          <w:b/>
          <w:sz w:val="22"/>
          <w:szCs w:val="22"/>
          <w:lang w:val="es-ES_tradnl"/>
        </w:rPr>
        <w:t>inatendibles</w:t>
      </w:r>
      <w:r w:rsidRPr="005751F9">
        <w:rPr>
          <w:rFonts w:ascii="Arial" w:eastAsia="Arial" w:hAnsi="Arial" w:cs="Arial"/>
          <w:sz w:val="22"/>
          <w:szCs w:val="22"/>
          <w:lang w:val="es-ES_tradnl"/>
        </w:rPr>
        <w:t xml:space="preserve"> </w:t>
      </w:r>
      <w:r w:rsidR="00F308A1">
        <w:rPr>
          <w:rFonts w:ascii="Arial" w:eastAsia="Arial" w:hAnsi="Arial" w:cs="Arial"/>
          <w:sz w:val="22"/>
          <w:szCs w:val="22"/>
          <w:lang w:val="es-ES_tradnl"/>
        </w:rPr>
        <w:t>las aseveraciones efectuadas por</w:t>
      </w:r>
      <w:r>
        <w:rPr>
          <w:rFonts w:ascii="Arial" w:eastAsia="Arial" w:hAnsi="Arial" w:cs="Arial"/>
          <w:sz w:val="22"/>
          <w:szCs w:val="22"/>
          <w:lang w:val="es-ES_tradnl"/>
        </w:rPr>
        <w:t xml:space="preserve"> </w:t>
      </w:r>
      <w:r w:rsidRPr="005751F9">
        <w:rPr>
          <w:rFonts w:ascii="Arial" w:eastAsia="Arial" w:hAnsi="Arial" w:cs="Arial"/>
          <w:sz w:val="22"/>
          <w:szCs w:val="22"/>
          <w:lang w:val="es-ES_tradnl"/>
        </w:rPr>
        <w:t>l</w:t>
      </w:r>
      <w:r>
        <w:rPr>
          <w:rFonts w:ascii="Arial" w:eastAsia="Arial" w:hAnsi="Arial" w:cs="Arial"/>
          <w:sz w:val="22"/>
          <w:szCs w:val="22"/>
          <w:lang w:val="es-ES_tradnl"/>
        </w:rPr>
        <w:t>a</w:t>
      </w:r>
      <w:r w:rsidRPr="005751F9">
        <w:rPr>
          <w:rFonts w:ascii="Arial" w:eastAsia="Arial" w:hAnsi="Arial" w:cs="Arial"/>
          <w:sz w:val="22"/>
          <w:szCs w:val="22"/>
          <w:lang w:val="es-ES_tradnl"/>
        </w:rPr>
        <w:t xml:space="preserve"> actor</w:t>
      </w:r>
      <w:r>
        <w:rPr>
          <w:rFonts w:ascii="Arial" w:eastAsia="Arial" w:hAnsi="Arial" w:cs="Arial"/>
          <w:sz w:val="22"/>
          <w:szCs w:val="22"/>
          <w:lang w:val="es-ES_tradnl"/>
        </w:rPr>
        <w:t>a</w:t>
      </w:r>
      <w:r w:rsidRPr="005751F9">
        <w:rPr>
          <w:rFonts w:ascii="Arial" w:eastAsia="Arial" w:hAnsi="Arial" w:cs="Arial"/>
          <w:sz w:val="22"/>
          <w:szCs w:val="22"/>
          <w:lang w:val="es-ES_tradnl"/>
        </w:rPr>
        <w:t xml:space="preserve">, </w:t>
      </w:r>
      <w:r w:rsidR="00F308A1">
        <w:rPr>
          <w:rFonts w:ascii="Arial" w:eastAsia="Arial" w:hAnsi="Arial" w:cs="Arial"/>
          <w:sz w:val="22"/>
          <w:szCs w:val="22"/>
          <w:lang w:val="es-ES_tradnl"/>
        </w:rPr>
        <w:t>en consideración a que el</w:t>
      </w:r>
      <w:r w:rsidRPr="005751F9">
        <w:rPr>
          <w:rFonts w:ascii="Arial" w:eastAsia="Arial" w:hAnsi="Arial" w:cs="Arial"/>
          <w:sz w:val="22"/>
          <w:szCs w:val="22"/>
          <w:lang w:val="es-ES_tradnl"/>
        </w:rPr>
        <w:t xml:space="preserve"> medio de impugnación </w:t>
      </w:r>
      <w:r w:rsidR="00F308A1">
        <w:rPr>
          <w:rFonts w:ascii="Arial" w:eastAsia="Arial" w:hAnsi="Arial" w:cs="Arial"/>
          <w:sz w:val="22"/>
          <w:szCs w:val="22"/>
          <w:lang w:val="es-ES_tradnl"/>
        </w:rPr>
        <w:t xml:space="preserve">que nos ocupa, </w:t>
      </w:r>
      <w:r w:rsidRPr="005751F9">
        <w:rPr>
          <w:rFonts w:ascii="Arial" w:eastAsia="Arial" w:hAnsi="Arial" w:cs="Arial"/>
          <w:sz w:val="22"/>
          <w:szCs w:val="22"/>
          <w:lang w:val="es-ES_tradnl"/>
        </w:rPr>
        <w:t>fue presentado de forma extemporánea</w:t>
      </w:r>
      <w:r w:rsidR="00F308A1">
        <w:rPr>
          <w:rFonts w:ascii="Arial" w:eastAsia="Arial" w:hAnsi="Arial" w:cs="Arial"/>
          <w:sz w:val="22"/>
          <w:szCs w:val="22"/>
          <w:lang w:val="es-ES_tradnl"/>
        </w:rPr>
        <w:t>;</w:t>
      </w:r>
      <w:r w:rsidRPr="005751F9">
        <w:rPr>
          <w:rFonts w:ascii="Arial" w:eastAsia="Arial" w:hAnsi="Arial" w:cs="Arial"/>
          <w:sz w:val="22"/>
          <w:szCs w:val="22"/>
          <w:lang w:val="es-ES_tradnl"/>
        </w:rPr>
        <w:t xml:space="preserve"> por lo que </w:t>
      </w:r>
      <w:r>
        <w:rPr>
          <w:rFonts w:ascii="Arial" w:eastAsia="Arial" w:hAnsi="Arial" w:cs="Arial"/>
          <w:sz w:val="22"/>
          <w:szCs w:val="22"/>
          <w:lang w:val="es-ES_tradnl"/>
        </w:rPr>
        <w:t>lo conducente es</w:t>
      </w:r>
      <w:r w:rsidRPr="005751F9">
        <w:rPr>
          <w:rFonts w:ascii="Arial" w:eastAsia="Arial" w:hAnsi="Arial" w:cs="Arial"/>
          <w:sz w:val="22"/>
          <w:szCs w:val="22"/>
          <w:lang w:val="es-ES_tradnl"/>
        </w:rPr>
        <w:t xml:space="preserve"> su desechamiento</w:t>
      </w:r>
      <w:r>
        <w:rPr>
          <w:rFonts w:ascii="Arial" w:eastAsia="Arial" w:hAnsi="Arial" w:cs="Arial"/>
          <w:sz w:val="22"/>
          <w:szCs w:val="22"/>
          <w:lang w:val="es-ES_tradnl"/>
        </w:rPr>
        <w:t xml:space="preserve"> en atención a que el t</w:t>
      </w:r>
      <w:r w:rsidR="0078667C">
        <w:rPr>
          <w:rFonts w:ascii="Arial" w:eastAsia="Arial" w:hAnsi="Arial" w:cs="Arial"/>
          <w:sz w:val="22"/>
          <w:szCs w:val="22"/>
          <w:lang w:val="es-ES_tradnl"/>
        </w:rPr>
        <w:t>é</w:t>
      </w:r>
      <w:r>
        <w:rPr>
          <w:rFonts w:ascii="Arial" w:eastAsia="Arial" w:hAnsi="Arial" w:cs="Arial"/>
          <w:sz w:val="22"/>
          <w:szCs w:val="22"/>
          <w:lang w:val="es-ES_tradnl"/>
        </w:rPr>
        <w:t xml:space="preserve">rmino para efectivamente promoverlo resultaba </w:t>
      </w:r>
      <w:r w:rsidR="004224ED">
        <w:rPr>
          <w:rFonts w:ascii="Arial" w:eastAsia="Arial" w:hAnsi="Arial" w:cs="Arial"/>
          <w:sz w:val="22"/>
          <w:szCs w:val="22"/>
          <w:lang w:val="es-ES_tradnl"/>
        </w:rPr>
        <w:t>en dos momentos</w:t>
      </w:r>
      <w:r w:rsidR="00A94F66">
        <w:rPr>
          <w:rStyle w:val="Refdenotaalpie"/>
          <w:rFonts w:ascii="Arial" w:eastAsia="Arial" w:hAnsi="Arial" w:cs="Arial"/>
          <w:sz w:val="22"/>
          <w:szCs w:val="22"/>
          <w:lang w:val="es-ES_tradnl"/>
        </w:rPr>
        <w:footnoteReference w:id="4"/>
      </w:r>
      <w:r w:rsidR="004224ED">
        <w:rPr>
          <w:rFonts w:ascii="Arial" w:eastAsia="Arial" w:hAnsi="Arial" w:cs="Arial"/>
          <w:sz w:val="22"/>
          <w:szCs w:val="22"/>
          <w:lang w:val="es-ES_tradnl"/>
        </w:rPr>
        <w:t>.</w:t>
      </w:r>
    </w:p>
    <w:p w14:paraId="11EE5E1D" w14:textId="77777777" w:rsidR="004224ED" w:rsidRDefault="004224ED" w:rsidP="004224ED">
      <w:pPr>
        <w:pBdr>
          <w:top w:val="nil"/>
          <w:left w:val="nil"/>
          <w:bottom w:val="nil"/>
          <w:right w:val="nil"/>
          <w:between w:val="nil"/>
        </w:pBdr>
        <w:tabs>
          <w:tab w:val="left" w:pos="567"/>
        </w:tabs>
        <w:spacing w:line="360" w:lineRule="auto"/>
        <w:ind w:right="36"/>
        <w:jc w:val="both"/>
        <w:rPr>
          <w:rFonts w:ascii="Arial" w:eastAsia="Arial" w:hAnsi="Arial" w:cs="Arial"/>
          <w:sz w:val="22"/>
          <w:szCs w:val="22"/>
          <w:lang w:val="es-ES_tradnl"/>
        </w:rPr>
      </w:pPr>
    </w:p>
    <w:p w14:paraId="01815132" w14:textId="4A5AA452" w:rsidR="004224ED" w:rsidRPr="00A633FA" w:rsidRDefault="004224ED" w:rsidP="004224ED">
      <w:pPr>
        <w:pBdr>
          <w:top w:val="nil"/>
          <w:left w:val="nil"/>
          <w:bottom w:val="nil"/>
          <w:right w:val="nil"/>
          <w:between w:val="nil"/>
        </w:pBdr>
        <w:tabs>
          <w:tab w:val="left" w:pos="567"/>
        </w:tabs>
        <w:spacing w:line="360" w:lineRule="auto"/>
        <w:ind w:right="36"/>
        <w:jc w:val="both"/>
        <w:rPr>
          <w:rFonts w:ascii="Arial" w:eastAsia="Arial Nova" w:hAnsi="Arial" w:cs="Arial"/>
          <w:b/>
          <w:sz w:val="22"/>
          <w:szCs w:val="22"/>
        </w:rPr>
      </w:pPr>
      <w:r>
        <w:rPr>
          <w:rFonts w:ascii="Arial" w:eastAsia="Arial" w:hAnsi="Arial" w:cs="Arial"/>
          <w:sz w:val="22"/>
          <w:szCs w:val="22"/>
          <w:lang w:val="es-ES_tradnl"/>
        </w:rPr>
        <w:t xml:space="preserve">El primero de ellos, </w:t>
      </w:r>
      <w:r w:rsidR="005751F9">
        <w:rPr>
          <w:rFonts w:ascii="Arial" w:eastAsia="Arial" w:hAnsi="Arial" w:cs="Arial"/>
          <w:sz w:val="22"/>
          <w:szCs w:val="22"/>
          <w:lang w:val="es-ES_tradnl"/>
        </w:rPr>
        <w:t xml:space="preserve">dentro de los cuatro días posteriores </w:t>
      </w:r>
      <w:r>
        <w:rPr>
          <w:rFonts w:ascii="Arial" w:eastAsia="Arial" w:hAnsi="Arial" w:cs="Arial"/>
          <w:sz w:val="22"/>
          <w:szCs w:val="22"/>
          <w:lang w:val="es-ES_tradnl"/>
        </w:rPr>
        <w:t xml:space="preserve">al 25 de marzo; día en que el Consejo Distrital Electoral XV aprobó la fórmula de candidatura a diputadas postuladas por MORENA integrada las </w:t>
      </w:r>
      <w:r>
        <w:rPr>
          <w:rFonts w:ascii="Arial" w:eastAsia="Arial Nova" w:hAnsi="Arial" w:cs="Arial"/>
          <w:bCs/>
          <w:sz w:val="22"/>
          <w:szCs w:val="22"/>
        </w:rPr>
        <w:t>CC. Leslie Mayela Figueroa Treviño como propietaria, y Berenice Anahí Romo Tapia como suplente.</w:t>
      </w:r>
      <w:r w:rsidRPr="00A633FA">
        <w:rPr>
          <w:rFonts w:ascii="Arial" w:eastAsia="Arial Nova" w:hAnsi="Arial" w:cs="Arial"/>
          <w:b/>
          <w:sz w:val="22"/>
          <w:szCs w:val="22"/>
        </w:rPr>
        <w:t xml:space="preserve"> </w:t>
      </w:r>
    </w:p>
    <w:p w14:paraId="4A082E48" w14:textId="59149F3D" w:rsidR="004224ED" w:rsidRDefault="004224ED" w:rsidP="004224ED">
      <w:pPr>
        <w:pBdr>
          <w:top w:val="nil"/>
          <w:left w:val="nil"/>
          <w:bottom w:val="nil"/>
          <w:right w:val="nil"/>
          <w:between w:val="nil"/>
        </w:pBdr>
        <w:tabs>
          <w:tab w:val="left" w:pos="567"/>
        </w:tabs>
        <w:spacing w:line="360" w:lineRule="auto"/>
        <w:ind w:right="36"/>
        <w:jc w:val="both"/>
        <w:rPr>
          <w:rFonts w:ascii="Arial" w:eastAsia="Arial" w:hAnsi="Arial" w:cs="Arial"/>
          <w:sz w:val="22"/>
          <w:szCs w:val="22"/>
          <w:lang w:val="es-ES_tradnl"/>
        </w:rPr>
      </w:pPr>
    </w:p>
    <w:p w14:paraId="72F7C038" w14:textId="77777777" w:rsidR="0008724B" w:rsidRPr="003A413E" w:rsidRDefault="004224ED" w:rsidP="00C84DC0">
      <w:pPr>
        <w:pBdr>
          <w:top w:val="nil"/>
          <w:left w:val="nil"/>
          <w:bottom w:val="nil"/>
          <w:right w:val="nil"/>
          <w:between w:val="nil"/>
        </w:pBdr>
        <w:tabs>
          <w:tab w:val="left" w:pos="567"/>
          <w:tab w:val="left" w:pos="8505"/>
        </w:tabs>
        <w:spacing w:line="360" w:lineRule="auto"/>
        <w:ind w:right="36"/>
        <w:jc w:val="both"/>
        <w:rPr>
          <w:rFonts w:ascii="Arial" w:eastAsia="Arial Nova" w:hAnsi="Arial" w:cs="Arial"/>
          <w:sz w:val="22"/>
          <w:szCs w:val="22"/>
        </w:rPr>
      </w:pPr>
      <w:r>
        <w:rPr>
          <w:rFonts w:ascii="Arial" w:eastAsia="Arial" w:hAnsi="Arial" w:cs="Arial"/>
          <w:sz w:val="22"/>
          <w:szCs w:val="22"/>
          <w:lang w:val="es-ES_tradnl"/>
        </w:rPr>
        <w:t xml:space="preserve">Mientras que el segundo momento, </w:t>
      </w:r>
      <w:r w:rsidR="00861864">
        <w:rPr>
          <w:rFonts w:ascii="Arial" w:eastAsia="Arial" w:hAnsi="Arial" w:cs="Arial"/>
          <w:sz w:val="22"/>
          <w:szCs w:val="22"/>
          <w:lang w:val="es-ES_tradnl"/>
        </w:rPr>
        <w:t xml:space="preserve">-en el caso particular- </w:t>
      </w:r>
      <w:r>
        <w:rPr>
          <w:rFonts w:ascii="Arial" w:eastAsia="Arial" w:hAnsi="Arial" w:cs="Arial"/>
          <w:sz w:val="22"/>
          <w:szCs w:val="22"/>
          <w:lang w:val="es-ES_tradnl"/>
        </w:rPr>
        <w:t xml:space="preserve">resultaba ser dentro de los cuatro días posteriores al trece de junio, fecha en la que el </w:t>
      </w:r>
      <w:r w:rsidR="00F308A1">
        <w:rPr>
          <w:rFonts w:ascii="Arial" w:eastAsia="Arial" w:hAnsi="Arial" w:cs="Arial"/>
          <w:sz w:val="22"/>
          <w:szCs w:val="22"/>
          <w:lang w:val="es-ES_tradnl"/>
        </w:rPr>
        <w:t xml:space="preserve">IEE </w:t>
      </w:r>
      <w:r>
        <w:rPr>
          <w:rFonts w:ascii="Arial" w:eastAsia="Arial Nova" w:hAnsi="Arial" w:cs="Arial"/>
          <w:sz w:val="22"/>
          <w:szCs w:val="22"/>
        </w:rPr>
        <w:t>aprobó el “</w:t>
      </w:r>
      <w:bookmarkStart w:id="7" w:name="_Hlk75436405"/>
      <w:r>
        <w:rPr>
          <w:rFonts w:ascii="Arial" w:eastAsia="Arial Nova" w:hAnsi="Arial" w:cs="Arial"/>
          <w:sz w:val="22"/>
          <w:szCs w:val="22"/>
        </w:rPr>
        <w:t>ACUERDO DEL CONSEJO GENERAL DEL INSTITUTO ESTATAL ELECTORAL, MEDIANTE EL CUAL SE ASIGNAN LAS DIPUTACIONES POR EL PRINCIPIO DE REPRESENTACIÓN PROPORCIONAL, EN EL PROCESO ELECTORAL CONCURRENTE ORDINARIO 2020-</w:t>
      </w:r>
      <w:r w:rsidRPr="00C57F34">
        <w:rPr>
          <w:rFonts w:ascii="Arial" w:eastAsia="Arial Nova" w:hAnsi="Arial" w:cs="Arial"/>
          <w:sz w:val="22"/>
          <w:szCs w:val="22"/>
        </w:rPr>
        <w:t>2021</w:t>
      </w:r>
      <w:bookmarkEnd w:id="7"/>
      <w:r w:rsidRPr="00C57F34">
        <w:rPr>
          <w:rFonts w:ascii="Arial" w:eastAsia="Arial Nova" w:hAnsi="Arial" w:cs="Arial"/>
          <w:sz w:val="22"/>
          <w:szCs w:val="22"/>
        </w:rPr>
        <w:t>”</w:t>
      </w:r>
      <w:r w:rsidRPr="00C57F34">
        <w:rPr>
          <w:rStyle w:val="Refdenotaalpie"/>
          <w:rFonts w:ascii="Arial" w:eastAsia="Arial Nova" w:hAnsi="Arial" w:cs="Arial"/>
          <w:sz w:val="22"/>
          <w:szCs w:val="22"/>
        </w:rPr>
        <w:footnoteReference w:id="5"/>
      </w:r>
      <w:r w:rsidR="00F86465" w:rsidRPr="00C57F34">
        <w:rPr>
          <w:rFonts w:ascii="Arial" w:eastAsia="Arial Nova" w:hAnsi="Arial" w:cs="Arial"/>
          <w:sz w:val="22"/>
          <w:szCs w:val="22"/>
        </w:rPr>
        <w:t>; acto mediante el cual</w:t>
      </w:r>
      <w:r w:rsidR="00AD6403" w:rsidRPr="00C57F34">
        <w:rPr>
          <w:rFonts w:ascii="Arial" w:eastAsia="Arial Nova" w:hAnsi="Arial" w:cs="Arial"/>
          <w:sz w:val="22"/>
          <w:szCs w:val="22"/>
        </w:rPr>
        <w:t xml:space="preserve"> además</w:t>
      </w:r>
      <w:r w:rsidR="00F86465" w:rsidRPr="00C57F34">
        <w:rPr>
          <w:rFonts w:ascii="Arial" w:eastAsia="Arial Nova" w:hAnsi="Arial" w:cs="Arial"/>
          <w:sz w:val="22"/>
          <w:szCs w:val="22"/>
        </w:rPr>
        <w:t xml:space="preserve"> les fue entregada la Constancia de Asignación de Diputaciones del H. Congreso del Estado de Aguascalientes</w:t>
      </w:r>
      <w:r w:rsidR="00EF7FD0" w:rsidRPr="00C57F34">
        <w:rPr>
          <w:rFonts w:ascii="Arial" w:eastAsia="Arial Nova" w:hAnsi="Arial" w:cs="Arial"/>
          <w:sz w:val="22"/>
          <w:szCs w:val="22"/>
        </w:rPr>
        <w:t xml:space="preserve">, </w:t>
      </w:r>
      <w:r w:rsidR="00AD6403" w:rsidRPr="003A413E">
        <w:rPr>
          <w:rFonts w:ascii="Arial" w:eastAsia="Arial Nova" w:hAnsi="Arial" w:cs="Arial"/>
          <w:sz w:val="22"/>
          <w:szCs w:val="22"/>
        </w:rPr>
        <w:t xml:space="preserve">conforme lo señalado en el informe </w:t>
      </w:r>
      <w:r w:rsidR="0008724B" w:rsidRPr="003A413E">
        <w:rPr>
          <w:rFonts w:ascii="Arial" w:eastAsia="Arial Nova" w:hAnsi="Arial" w:cs="Arial"/>
          <w:sz w:val="22"/>
          <w:szCs w:val="22"/>
        </w:rPr>
        <w:t>circunstanciado por la autoridad responsable.</w:t>
      </w:r>
    </w:p>
    <w:p w14:paraId="09A93BC5" w14:textId="77777777" w:rsidR="0008724B" w:rsidRDefault="0008724B" w:rsidP="00C84DC0">
      <w:pPr>
        <w:pBdr>
          <w:top w:val="nil"/>
          <w:left w:val="nil"/>
          <w:bottom w:val="nil"/>
          <w:right w:val="nil"/>
          <w:between w:val="nil"/>
        </w:pBdr>
        <w:tabs>
          <w:tab w:val="left" w:pos="567"/>
          <w:tab w:val="left" w:pos="8505"/>
        </w:tabs>
        <w:spacing w:line="360" w:lineRule="auto"/>
        <w:ind w:right="36"/>
        <w:jc w:val="both"/>
        <w:rPr>
          <w:rFonts w:ascii="Arial" w:eastAsia="Arial Nova" w:hAnsi="Arial" w:cs="Arial"/>
          <w:b/>
          <w:bCs/>
          <w:sz w:val="22"/>
          <w:szCs w:val="22"/>
        </w:rPr>
      </w:pPr>
    </w:p>
    <w:p w14:paraId="05462F9E" w14:textId="0ACAD892" w:rsidR="006D58AC" w:rsidRPr="00EF7FD0" w:rsidRDefault="00724889" w:rsidP="00C84DC0">
      <w:pPr>
        <w:pBdr>
          <w:top w:val="nil"/>
          <w:left w:val="nil"/>
          <w:bottom w:val="nil"/>
          <w:right w:val="nil"/>
          <w:between w:val="nil"/>
        </w:pBdr>
        <w:tabs>
          <w:tab w:val="left" w:pos="567"/>
          <w:tab w:val="left" w:pos="8505"/>
        </w:tabs>
        <w:spacing w:line="360" w:lineRule="auto"/>
        <w:ind w:right="36"/>
        <w:jc w:val="both"/>
        <w:rPr>
          <w:rFonts w:ascii="Arial" w:eastAsia="Arial Nova" w:hAnsi="Arial" w:cs="Arial"/>
          <w:b/>
          <w:bCs/>
          <w:sz w:val="22"/>
          <w:szCs w:val="22"/>
        </w:rPr>
      </w:pPr>
      <w:r>
        <w:rPr>
          <w:rFonts w:ascii="Arial" w:eastAsia="Arial Nova" w:hAnsi="Arial" w:cs="Arial"/>
          <w:sz w:val="22"/>
          <w:szCs w:val="22"/>
        </w:rPr>
        <w:t>De tal forma</w:t>
      </w:r>
      <w:r w:rsidR="006D58AC">
        <w:rPr>
          <w:rFonts w:ascii="Arial" w:eastAsia="Arial Nova" w:hAnsi="Arial" w:cs="Arial"/>
          <w:sz w:val="22"/>
          <w:szCs w:val="22"/>
        </w:rPr>
        <w:t xml:space="preserve"> que</w:t>
      </w:r>
      <w:r>
        <w:rPr>
          <w:rFonts w:ascii="Arial" w:eastAsia="Arial Nova" w:hAnsi="Arial" w:cs="Arial"/>
          <w:sz w:val="22"/>
          <w:szCs w:val="22"/>
        </w:rPr>
        <w:t>,</w:t>
      </w:r>
      <w:r w:rsidR="006D58AC">
        <w:rPr>
          <w:rFonts w:ascii="Arial" w:eastAsia="Arial Nova" w:hAnsi="Arial" w:cs="Arial"/>
          <w:sz w:val="22"/>
          <w:szCs w:val="22"/>
        </w:rPr>
        <w:t xml:space="preserve"> el momento procesal oportuno </w:t>
      </w:r>
      <w:r>
        <w:rPr>
          <w:rFonts w:ascii="Arial" w:eastAsia="Arial Nova" w:hAnsi="Arial" w:cs="Arial"/>
          <w:sz w:val="22"/>
          <w:szCs w:val="22"/>
        </w:rPr>
        <w:t>para impugnar la inelegibilidad de la diputada electa, lo era con la asignación de su curul mediante la emisión del Acuerdo CG-A-54/2021.</w:t>
      </w:r>
    </w:p>
    <w:p w14:paraId="757C66A2" w14:textId="7A8979DF" w:rsidR="00861864" w:rsidRDefault="00861864" w:rsidP="00861864">
      <w:pPr>
        <w:tabs>
          <w:tab w:val="left" w:pos="2805"/>
        </w:tabs>
        <w:spacing w:before="100" w:beforeAutospacing="1" w:after="100" w:afterAutospacing="1" w:line="360" w:lineRule="auto"/>
        <w:jc w:val="both"/>
        <w:rPr>
          <w:rFonts w:ascii="Arial" w:eastAsia="Arial" w:hAnsi="Arial" w:cs="Arial"/>
          <w:sz w:val="22"/>
          <w:szCs w:val="22"/>
        </w:rPr>
      </w:pPr>
      <w:r>
        <w:rPr>
          <w:rFonts w:ascii="Arial" w:eastAsia="Arial" w:hAnsi="Arial" w:cs="Arial"/>
          <w:sz w:val="22"/>
          <w:szCs w:val="22"/>
        </w:rPr>
        <w:t>Robustece a lo anterior lo considerado por la</w:t>
      </w:r>
      <w:r w:rsidRPr="00A94F66">
        <w:rPr>
          <w:rFonts w:ascii="Arial" w:eastAsia="Arial" w:hAnsi="Arial" w:cs="Arial"/>
          <w:sz w:val="22"/>
          <w:szCs w:val="22"/>
        </w:rPr>
        <w:t xml:space="preserve"> Sala Regional </w:t>
      </w:r>
      <w:r>
        <w:rPr>
          <w:rFonts w:ascii="Arial" w:eastAsia="Arial" w:hAnsi="Arial" w:cs="Arial"/>
          <w:sz w:val="22"/>
          <w:szCs w:val="22"/>
        </w:rPr>
        <w:t>Monterrey en el asunto SM-JDC-685/2018, en el que se precisó que,</w:t>
      </w:r>
      <w:r w:rsidRPr="00A94F66">
        <w:rPr>
          <w:rFonts w:ascii="Arial" w:eastAsia="Arial" w:hAnsi="Arial" w:cs="Arial"/>
          <w:sz w:val="22"/>
          <w:szCs w:val="22"/>
        </w:rPr>
        <w:t xml:space="preserve"> para efecto de calificar la temporalidad de la impugnación, </w:t>
      </w:r>
      <w:bookmarkStart w:id="8" w:name="_Hlk524105742"/>
      <w:r>
        <w:rPr>
          <w:rFonts w:ascii="Arial" w:eastAsia="Arial" w:hAnsi="Arial" w:cs="Arial"/>
          <w:sz w:val="22"/>
          <w:szCs w:val="22"/>
        </w:rPr>
        <w:t xml:space="preserve">se debe </w:t>
      </w:r>
      <w:r w:rsidRPr="00A94F66">
        <w:rPr>
          <w:rFonts w:ascii="Arial" w:eastAsia="Arial" w:hAnsi="Arial" w:cs="Arial"/>
          <w:sz w:val="22"/>
          <w:szCs w:val="22"/>
        </w:rPr>
        <w:t>tom</w:t>
      </w:r>
      <w:r>
        <w:rPr>
          <w:rFonts w:ascii="Arial" w:eastAsia="Arial" w:hAnsi="Arial" w:cs="Arial"/>
          <w:sz w:val="22"/>
          <w:szCs w:val="22"/>
        </w:rPr>
        <w:t>ar</w:t>
      </w:r>
      <w:r w:rsidRPr="00A94F66">
        <w:rPr>
          <w:rFonts w:ascii="Arial" w:eastAsia="Arial" w:hAnsi="Arial" w:cs="Arial"/>
          <w:sz w:val="22"/>
          <w:szCs w:val="22"/>
        </w:rPr>
        <w:t xml:space="preserve"> como fecha la emisión del acta de cómputo y validez, pues con ese acto se dio a conocer al candidato ganador y </w:t>
      </w:r>
      <w:r>
        <w:rPr>
          <w:rFonts w:ascii="Arial" w:eastAsia="Arial" w:hAnsi="Arial" w:cs="Arial"/>
          <w:sz w:val="22"/>
          <w:szCs w:val="22"/>
        </w:rPr>
        <w:t>se</w:t>
      </w:r>
      <w:r w:rsidRPr="00A94F66">
        <w:rPr>
          <w:rFonts w:ascii="Arial" w:eastAsia="Arial" w:hAnsi="Arial" w:cs="Arial"/>
          <w:sz w:val="22"/>
          <w:szCs w:val="22"/>
        </w:rPr>
        <w:t xml:space="preserve"> abre la posibilidad de impugnar la elegibilidad </w:t>
      </w:r>
      <w:bookmarkEnd w:id="8"/>
      <w:r w:rsidRPr="00A94F66">
        <w:rPr>
          <w:rFonts w:ascii="Arial" w:eastAsia="Arial" w:hAnsi="Arial" w:cs="Arial"/>
          <w:sz w:val="22"/>
          <w:szCs w:val="22"/>
        </w:rPr>
        <w:t>de este conforme a la jurisprudencia 11/97, de rubro: “</w:t>
      </w:r>
      <w:r w:rsidRPr="00A94F66">
        <w:rPr>
          <w:rFonts w:ascii="Arial" w:eastAsia="Arial" w:hAnsi="Arial" w:cs="Arial"/>
          <w:b/>
          <w:bCs/>
          <w:sz w:val="22"/>
          <w:szCs w:val="22"/>
        </w:rPr>
        <w:t>ELEGIBILIDAD DE CANDIDATOS. OPORTUNIDAD PARA SU ANÁLISIS E IMPUGNACIÓN”</w:t>
      </w:r>
      <w:r w:rsidRPr="00A94F66">
        <w:rPr>
          <w:rFonts w:ascii="Arial" w:eastAsia="Arial" w:hAnsi="Arial" w:cs="Arial"/>
          <w:b/>
          <w:bCs/>
          <w:sz w:val="22"/>
          <w:szCs w:val="22"/>
          <w:vertAlign w:val="superscript"/>
        </w:rPr>
        <w:footnoteReference w:id="6"/>
      </w:r>
      <w:r>
        <w:rPr>
          <w:rFonts w:ascii="Arial" w:eastAsia="Arial" w:hAnsi="Arial" w:cs="Arial"/>
          <w:b/>
          <w:bCs/>
          <w:sz w:val="22"/>
          <w:szCs w:val="22"/>
        </w:rPr>
        <w:t xml:space="preserve"> </w:t>
      </w:r>
      <w:r w:rsidRPr="00A94F66">
        <w:rPr>
          <w:rFonts w:ascii="Arial" w:eastAsia="Arial" w:hAnsi="Arial" w:cs="Arial"/>
          <w:sz w:val="22"/>
          <w:szCs w:val="22"/>
        </w:rPr>
        <w:t>en la cual</w:t>
      </w:r>
      <w:r w:rsidR="005678B2">
        <w:rPr>
          <w:rFonts w:ascii="Arial" w:eastAsia="Arial" w:hAnsi="Arial" w:cs="Arial"/>
          <w:sz w:val="22"/>
          <w:szCs w:val="22"/>
        </w:rPr>
        <w:t>, además</w:t>
      </w:r>
      <w:r w:rsidRPr="00A94F66">
        <w:rPr>
          <w:rFonts w:ascii="Arial" w:eastAsia="Arial" w:hAnsi="Arial" w:cs="Arial"/>
          <w:sz w:val="22"/>
          <w:szCs w:val="22"/>
        </w:rPr>
        <w:t xml:space="preserve"> se determina que existen dos momentos en los </w:t>
      </w:r>
      <w:r w:rsidR="005678B2">
        <w:rPr>
          <w:rFonts w:ascii="Arial" w:eastAsia="Arial" w:hAnsi="Arial" w:cs="Arial"/>
          <w:sz w:val="22"/>
          <w:szCs w:val="22"/>
        </w:rPr>
        <w:t>c</w:t>
      </w:r>
      <w:r w:rsidRPr="00A94F66">
        <w:rPr>
          <w:rFonts w:ascii="Arial" w:eastAsia="Arial" w:hAnsi="Arial" w:cs="Arial"/>
          <w:sz w:val="22"/>
          <w:szCs w:val="22"/>
        </w:rPr>
        <w:t>uales se puede impugnar cuando se considere que un candidato no cumple con los requisitos de elegibilidad, siendo el primero de ellos cuando se lleva a cabo el registro de estos y, el segundo cuando se haya declarado la validez de la elección y entregado las constancias de mayoría.</w:t>
      </w:r>
    </w:p>
    <w:p w14:paraId="60388B22" w14:textId="5D4D1E29" w:rsidR="00E75714" w:rsidRDefault="00F34FE4" w:rsidP="00E75714">
      <w:pPr>
        <w:tabs>
          <w:tab w:val="left" w:pos="1635"/>
        </w:tabs>
        <w:spacing w:line="360" w:lineRule="auto"/>
        <w:jc w:val="both"/>
        <w:rPr>
          <w:rFonts w:ascii="Arial" w:eastAsia="Arial Nova" w:hAnsi="Arial" w:cs="Arial"/>
          <w:bCs/>
          <w:sz w:val="22"/>
          <w:szCs w:val="22"/>
        </w:rPr>
      </w:pPr>
      <w:r>
        <w:rPr>
          <w:rFonts w:ascii="Arial" w:eastAsia="Arial" w:hAnsi="Arial" w:cs="Arial"/>
          <w:sz w:val="22"/>
          <w:szCs w:val="22"/>
        </w:rPr>
        <w:t xml:space="preserve">De modo que, </w:t>
      </w:r>
      <w:r w:rsidR="00861864">
        <w:rPr>
          <w:rFonts w:ascii="Arial" w:eastAsia="Arial" w:hAnsi="Arial" w:cs="Arial"/>
          <w:sz w:val="22"/>
          <w:szCs w:val="22"/>
        </w:rPr>
        <w:t xml:space="preserve">al ser una asignación por la vía de representación proporcional, -como fue precisado- la segunda y última oportunidad para atacar el acto resultaba ser cuando la autoridad administrativa electoral validó </w:t>
      </w:r>
      <w:r w:rsidR="002F0269">
        <w:rPr>
          <w:rFonts w:ascii="Arial" w:eastAsia="Arial" w:hAnsi="Arial" w:cs="Arial"/>
          <w:sz w:val="22"/>
          <w:szCs w:val="22"/>
        </w:rPr>
        <w:t xml:space="preserve">de manera efectiva la asignación de la candidata en la posición plurinominal respectiva; por tanto, </w:t>
      </w:r>
      <w:r w:rsidR="004224ED">
        <w:rPr>
          <w:rFonts w:ascii="Arial" w:eastAsia="Arial" w:hAnsi="Arial" w:cs="Arial"/>
          <w:sz w:val="22"/>
          <w:szCs w:val="22"/>
        </w:rPr>
        <w:t>al no combatir en cualquiera de estos momentos lo planteado en el presente medio impugnativo, automáticamente se convalid</w:t>
      </w:r>
      <w:r w:rsidR="0077621B">
        <w:rPr>
          <w:rFonts w:ascii="Arial" w:eastAsia="Arial" w:hAnsi="Arial" w:cs="Arial"/>
          <w:sz w:val="22"/>
          <w:szCs w:val="22"/>
        </w:rPr>
        <w:t>ó</w:t>
      </w:r>
      <w:r w:rsidR="004224ED">
        <w:rPr>
          <w:rFonts w:ascii="Arial" w:eastAsia="Arial" w:hAnsi="Arial" w:cs="Arial"/>
          <w:sz w:val="22"/>
          <w:szCs w:val="22"/>
        </w:rPr>
        <w:t xml:space="preserve"> el respectivo registro, y por ende la asignación de la diputación por el principio de representación proporcional de</w:t>
      </w:r>
      <w:r w:rsidR="004224ED">
        <w:rPr>
          <w:rFonts w:ascii="Arial" w:eastAsia="Arial Nova" w:hAnsi="Arial" w:cs="Arial"/>
          <w:bCs/>
          <w:sz w:val="22"/>
          <w:szCs w:val="22"/>
        </w:rPr>
        <w:t xml:space="preserve"> Leslie Mayela Figueroa Treviño.</w:t>
      </w:r>
      <w:r w:rsidR="00E75714">
        <w:rPr>
          <w:rFonts w:ascii="Arial" w:eastAsia="Arial Nova" w:hAnsi="Arial" w:cs="Arial"/>
          <w:bCs/>
          <w:sz w:val="22"/>
          <w:szCs w:val="22"/>
        </w:rPr>
        <w:t xml:space="preserve"> </w:t>
      </w:r>
    </w:p>
    <w:p w14:paraId="1A8096DD" w14:textId="77777777" w:rsidR="00E75714" w:rsidRDefault="00E75714" w:rsidP="00E75714">
      <w:pPr>
        <w:tabs>
          <w:tab w:val="left" w:pos="1635"/>
        </w:tabs>
        <w:spacing w:line="360" w:lineRule="auto"/>
        <w:jc w:val="both"/>
        <w:rPr>
          <w:rFonts w:ascii="Arial" w:eastAsia="Arial Nova" w:hAnsi="Arial" w:cs="Arial"/>
          <w:bCs/>
          <w:sz w:val="22"/>
          <w:szCs w:val="22"/>
        </w:rPr>
      </w:pPr>
    </w:p>
    <w:p w14:paraId="019CC132" w14:textId="728AF597" w:rsidR="004224ED" w:rsidRDefault="004224ED" w:rsidP="00E75714">
      <w:pPr>
        <w:tabs>
          <w:tab w:val="left" w:pos="1635"/>
        </w:tabs>
        <w:spacing w:line="360" w:lineRule="auto"/>
        <w:jc w:val="both"/>
        <w:rPr>
          <w:rFonts w:ascii="Arial" w:hAnsi="Arial" w:cs="Arial"/>
          <w:sz w:val="22"/>
          <w:szCs w:val="22"/>
        </w:rPr>
      </w:pPr>
      <w:r w:rsidRPr="004224ED">
        <w:rPr>
          <w:rFonts w:ascii="Arial" w:hAnsi="Arial" w:cs="Arial"/>
          <w:sz w:val="22"/>
          <w:szCs w:val="22"/>
        </w:rPr>
        <w:t>Conforme a lo anterior, si los medios de impugnación deben promoverse dentro de los cuatro días siguientes, contados a partir del día siguiente de la notificación del acto impugnado o bien, aquel en que se tenga conocimiento de él</w:t>
      </w:r>
      <w:r w:rsidRPr="004224ED">
        <w:rPr>
          <w:rStyle w:val="Refdenotaalpie"/>
          <w:rFonts w:ascii="Arial" w:hAnsi="Arial"/>
          <w:sz w:val="22"/>
          <w:szCs w:val="22"/>
        </w:rPr>
        <w:footnoteReference w:id="7"/>
      </w:r>
      <w:r w:rsidRPr="004224ED">
        <w:rPr>
          <w:rFonts w:ascii="Arial" w:hAnsi="Arial" w:cs="Arial"/>
          <w:sz w:val="22"/>
          <w:szCs w:val="22"/>
        </w:rPr>
        <w:t xml:space="preserve"> considerando que, la actora controvierte el registro y la asignación de la diputación de </w:t>
      </w:r>
      <w:r w:rsidRPr="004224ED">
        <w:rPr>
          <w:rFonts w:ascii="Arial" w:eastAsia="Arial Nova" w:hAnsi="Arial" w:cs="Arial"/>
          <w:bCs/>
          <w:sz w:val="22"/>
          <w:szCs w:val="22"/>
        </w:rPr>
        <w:t>Leslie Mayela</w:t>
      </w:r>
      <w:r w:rsidRPr="004224ED">
        <w:rPr>
          <w:rFonts w:ascii="Arial" w:hAnsi="Arial" w:cs="Arial"/>
          <w:sz w:val="22"/>
          <w:szCs w:val="22"/>
        </w:rPr>
        <w:t xml:space="preserve"> que a su </w:t>
      </w:r>
      <w:r w:rsidR="00A94F66">
        <w:rPr>
          <w:rFonts w:ascii="Arial" w:hAnsi="Arial" w:cs="Arial"/>
          <w:sz w:val="22"/>
          <w:szCs w:val="22"/>
        </w:rPr>
        <w:t>ver</w:t>
      </w:r>
      <w:r w:rsidRPr="004224ED">
        <w:rPr>
          <w:rFonts w:ascii="Arial" w:hAnsi="Arial" w:cs="Arial"/>
          <w:sz w:val="22"/>
          <w:szCs w:val="22"/>
        </w:rPr>
        <w:t xml:space="preserve"> resulta inelegible, resulta claro que, a la fecha de presentación del medio de impugnación, </w:t>
      </w:r>
      <w:r w:rsidR="002F0269">
        <w:rPr>
          <w:rFonts w:ascii="Arial" w:hAnsi="Arial" w:cs="Arial"/>
          <w:sz w:val="22"/>
          <w:szCs w:val="22"/>
        </w:rPr>
        <w:t>feneció</w:t>
      </w:r>
      <w:r w:rsidR="00A94F66">
        <w:rPr>
          <w:rFonts w:ascii="Arial" w:hAnsi="Arial" w:cs="Arial"/>
          <w:sz w:val="22"/>
          <w:szCs w:val="22"/>
        </w:rPr>
        <w:t xml:space="preserve"> </w:t>
      </w:r>
      <w:r w:rsidRPr="004224ED">
        <w:rPr>
          <w:rFonts w:ascii="Arial" w:hAnsi="Arial" w:cs="Arial"/>
          <w:sz w:val="22"/>
          <w:szCs w:val="22"/>
        </w:rPr>
        <w:t>el término legal para interponer el mismo</w:t>
      </w:r>
      <w:r w:rsidR="00A94F66">
        <w:rPr>
          <w:rFonts w:ascii="Arial" w:hAnsi="Arial" w:cs="Arial"/>
          <w:sz w:val="22"/>
          <w:szCs w:val="22"/>
        </w:rPr>
        <w:t>.</w:t>
      </w:r>
    </w:p>
    <w:p w14:paraId="57FC94DF" w14:textId="0FE801F6" w:rsidR="0077621B" w:rsidRDefault="0077621B" w:rsidP="00E75714">
      <w:pPr>
        <w:tabs>
          <w:tab w:val="left" w:pos="1635"/>
        </w:tabs>
        <w:spacing w:line="360" w:lineRule="auto"/>
        <w:jc w:val="both"/>
        <w:rPr>
          <w:rFonts w:ascii="Arial" w:hAnsi="Arial" w:cs="Arial"/>
          <w:sz w:val="22"/>
          <w:szCs w:val="22"/>
        </w:rPr>
      </w:pPr>
    </w:p>
    <w:p w14:paraId="5CE46418" w14:textId="77777777" w:rsidR="0077621B" w:rsidRPr="00A01A33" w:rsidRDefault="0077621B" w:rsidP="0077621B">
      <w:pPr>
        <w:pBdr>
          <w:top w:val="nil"/>
          <w:left w:val="nil"/>
          <w:bottom w:val="nil"/>
          <w:right w:val="nil"/>
          <w:between w:val="nil"/>
        </w:pBdr>
        <w:tabs>
          <w:tab w:val="left" w:pos="567"/>
          <w:tab w:val="left" w:pos="8505"/>
        </w:tabs>
        <w:spacing w:line="360" w:lineRule="auto"/>
        <w:ind w:right="36"/>
        <w:jc w:val="both"/>
        <w:rPr>
          <w:rFonts w:ascii="Arial" w:eastAsia="Arial Nova" w:hAnsi="Arial" w:cs="Arial"/>
          <w:sz w:val="22"/>
          <w:szCs w:val="22"/>
        </w:rPr>
      </w:pPr>
      <w:r w:rsidRPr="00A01A33">
        <w:rPr>
          <w:rFonts w:ascii="Arial" w:eastAsia="Arial Nova" w:hAnsi="Arial" w:cs="Arial"/>
          <w:sz w:val="22"/>
          <w:szCs w:val="22"/>
        </w:rPr>
        <w:t>Aunado a ello, en el hecho número 8 del escrito inicial de demanda, la promovente indica lo siguiente</w:t>
      </w:r>
      <w:r>
        <w:rPr>
          <w:rFonts w:ascii="Arial" w:eastAsia="Arial Nova" w:hAnsi="Arial" w:cs="Arial"/>
          <w:sz w:val="22"/>
          <w:szCs w:val="22"/>
        </w:rPr>
        <w:t>:</w:t>
      </w:r>
    </w:p>
    <w:p w14:paraId="40E0E534" w14:textId="77777777" w:rsidR="0077621B" w:rsidRPr="00A01A33" w:rsidRDefault="0077621B" w:rsidP="0077621B">
      <w:pPr>
        <w:pBdr>
          <w:top w:val="nil"/>
          <w:left w:val="nil"/>
          <w:bottom w:val="nil"/>
          <w:right w:val="nil"/>
          <w:between w:val="nil"/>
        </w:pBdr>
        <w:tabs>
          <w:tab w:val="left" w:pos="567"/>
          <w:tab w:val="left" w:pos="8505"/>
        </w:tabs>
        <w:spacing w:line="360" w:lineRule="auto"/>
        <w:ind w:right="36"/>
        <w:jc w:val="both"/>
        <w:rPr>
          <w:rFonts w:ascii="Arial" w:eastAsia="Arial Nova" w:hAnsi="Arial" w:cs="Arial"/>
          <w:sz w:val="22"/>
          <w:szCs w:val="22"/>
        </w:rPr>
      </w:pPr>
    </w:p>
    <w:p w14:paraId="0EC5D8BB" w14:textId="77777777" w:rsidR="0077621B" w:rsidRPr="007F1D32" w:rsidRDefault="0077621B" w:rsidP="0077621B">
      <w:pPr>
        <w:pBdr>
          <w:top w:val="nil"/>
          <w:left w:val="nil"/>
          <w:bottom w:val="nil"/>
          <w:right w:val="nil"/>
          <w:between w:val="nil"/>
        </w:pBdr>
        <w:tabs>
          <w:tab w:val="left" w:pos="567"/>
          <w:tab w:val="left" w:pos="8505"/>
        </w:tabs>
        <w:spacing w:line="360" w:lineRule="auto"/>
        <w:ind w:left="567" w:right="616"/>
        <w:jc w:val="both"/>
        <w:rPr>
          <w:rFonts w:ascii="Arial" w:eastAsia="Arial Nova" w:hAnsi="Arial" w:cs="Arial"/>
          <w:i/>
          <w:iCs/>
          <w:sz w:val="22"/>
          <w:szCs w:val="22"/>
        </w:rPr>
      </w:pPr>
      <w:r w:rsidRPr="007F1D32">
        <w:rPr>
          <w:rFonts w:ascii="Arial" w:eastAsia="Arial Nova" w:hAnsi="Arial" w:cs="Arial"/>
          <w:i/>
          <w:iCs/>
          <w:sz w:val="22"/>
          <w:szCs w:val="22"/>
        </w:rPr>
        <w:t xml:space="preserve">“En fecha 18 y 29 (dieciocho y veintinueve) de junio de 2021, mediante escritos sin número solicité al Instituto Estatal Electoral información relativa a los expedientes de las </w:t>
      </w:r>
      <w:r w:rsidRPr="007F1D32">
        <w:rPr>
          <w:rFonts w:ascii="Arial" w:eastAsia="Arial Nova" w:hAnsi="Arial" w:cs="Arial"/>
          <w:i/>
          <w:iCs/>
          <w:sz w:val="22"/>
          <w:szCs w:val="22"/>
        </w:rPr>
        <w:lastRenderedPageBreak/>
        <w:t>candidatas asignadas en la fórmula 6 a la diputación de representación proporcional, sin que a la fecha se les haya dado respuesta a mis peticiones”.</w:t>
      </w:r>
    </w:p>
    <w:p w14:paraId="5718336E" w14:textId="77777777" w:rsidR="0077621B" w:rsidRPr="00A01A33" w:rsidRDefault="0077621B" w:rsidP="0077621B">
      <w:pPr>
        <w:pBdr>
          <w:top w:val="nil"/>
          <w:left w:val="nil"/>
          <w:bottom w:val="nil"/>
          <w:right w:val="nil"/>
          <w:between w:val="nil"/>
        </w:pBdr>
        <w:tabs>
          <w:tab w:val="left" w:pos="567"/>
          <w:tab w:val="left" w:pos="8505"/>
        </w:tabs>
        <w:spacing w:line="360" w:lineRule="auto"/>
        <w:ind w:right="36"/>
        <w:jc w:val="both"/>
        <w:rPr>
          <w:rFonts w:ascii="Arial" w:eastAsia="Arial Nova" w:hAnsi="Arial" w:cs="Arial"/>
          <w:sz w:val="22"/>
          <w:szCs w:val="22"/>
        </w:rPr>
      </w:pPr>
    </w:p>
    <w:p w14:paraId="5679F753" w14:textId="77777777" w:rsidR="0077621B" w:rsidRPr="00A01A33" w:rsidRDefault="0077621B" w:rsidP="0077621B">
      <w:pPr>
        <w:pBdr>
          <w:top w:val="nil"/>
          <w:left w:val="nil"/>
          <w:bottom w:val="nil"/>
          <w:right w:val="nil"/>
          <w:between w:val="nil"/>
        </w:pBdr>
        <w:tabs>
          <w:tab w:val="left" w:pos="567"/>
          <w:tab w:val="left" w:pos="8505"/>
        </w:tabs>
        <w:spacing w:line="360" w:lineRule="auto"/>
        <w:ind w:right="36"/>
        <w:jc w:val="both"/>
        <w:rPr>
          <w:rFonts w:ascii="Arial" w:eastAsia="Arial Nova" w:hAnsi="Arial" w:cs="Arial"/>
          <w:sz w:val="22"/>
          <w:szCs w:val="22"/>
        </w:rPr>
      </w:pPr>
      <w:r w:rsidRPr="00A01A33">
        <w:rPr>
          <w:rFonts w:ascii="Arial" w:eastAsia="Arial Nova" w:hAnsi="Arial" w:cs="Arial"/>
          <w:sz w:val="22"/>
          <w:szCs w:val="22"/>
        </w:rPr>
        <w:t>Por su parte, en hecho identificado con el número 9, expone lo siguiente:</w:t>
      </w:r>
    </w:p>
    <w:p w14:paraId="2012085E" w14:textId="77777777" w:rsidR="0077621B" w:rsidRDefault="0077621B" w:rsidP="0077621B">
      <w:pPr>
        <w:pBdr>
          <w:top w:val="nil"/>
          <w:left w:val="nil"/>
          <w:bottom w:val="nil"/>
          <w:right w:val="nil"/>
          <w:between w:val="nil"/>
        </w:pBdr>
        <w:tabs>
          <w:tab w:val="left" w:pos="567"/>
          <w:tab w:val="left" w:pos="8505"/>
        </w:tabs>
        <w:spacing w:line="360" w:lineRule="auto"/>
        <w:ind w:right="36"/>
        <w:jc w:val="both"/>
        <w:rPr>
          <w:rFonts w:ascii="Arial" w:eastAsia="Arial Nova" w:hAnsi="Arial" w:cs="Arial"/>
          <w:b/>
          <w:bCs/>
          <w:sz w:val="22"/>
          <w:szCs w:val="22"/>
        </w:rPr>
      </w:pPr>
    </w:p>
    <w:p w14:paraId="6ED7B020" w14:textId="77777777" w:rsidR="0077621B" w:rsidRPr="007F1D32" w:rsidRDefault="0077621B" w:rsidP="0077621B">
      <w:pPr>
        <w:pBdr>
          <w:top w:val="nil"/>
          <w:left w:val="nil"/>
          <w:bottom w:val="nil"/>
          <w:right w:val="nil"/>
          <w:between w:val="nil"/>
        </w:pBdr>
        <w:tabs>
          <w:tab w:val="left" w:pos="567"/>
          <w:tab w:val="left" w:pos="8505"/>
        </w:tabs>
        <w:spacing w:line="360" w:lineRule="auto"/>
        <w:ind w:left="567" w:right="616"/>
        <w:jc w:val="both"/>
        <w:rPr>
          <w:rFonts w:ascii="Arial" w:eastAsia="Arial Nova" w:hAnsi="Arial" w:cs="Arial"/>
          <w:i/>
          <w:iCs/>
          <w:sz w:val="22"/>
          <w:szCs w:val="22"/>
        </w:rPr>
      </w:pPr>
      <w:r w:rsidRPr="007F1D32">
        <w:rPr>
          <w:rFonts w:ascii="Arial" w:eastAsia="Arial Nova" w:hAnsi="Arial" w:cs="Arial"/>
          <w:i/>
          <w:iCs/>
          <w:sz w:val="22"/>
          <w:szCs w:val="22"/>
        </w:rPr>
        <w:t>“El día 13 (trece) de julio de 2021, a través de escrito sin número, solicité la</w:t>
      </w:r>
      <w:r w:rsidRPr="007F1D32">
        <w:rPr>
          <w:rFonts w:ascii="Arial" w:eastAsia="Arial Nova" w:hAnsi="Arial" w:cs="Arial"/>
          <w:b/>
          <w:bCs/>
          <w:i/>
          <w:iCs/>
          <w:sz w:val="22"/>
          <w:szCs w:val="22"/>
        </w:rPr>
        <w:t xml:space="preserve"> </w:t>
      </w:r>
      <w:r w:rsidRPr="007F1D32">
        <w:rPr>
          <w:rFonts w:ascii="Arial" w:eastAsia="Arial Nova" w:hAnsi="Arial" w:cs="Arial"/>
          <w:i/>
          <w:iCs/>
          <w:sz w:val="22"/>
          <w:szCs w:val="22"/>
        </w:rPr>
        <w:t xml:space="preserve">Instituto Estatal Electoral a) ... b) ... c) Se me </w:t>
      </w:r>
      <w:proofErr w:type="gramStart"/>
      <w:r w:rsidRPr="007F1D32">
        <w:rPr>
          <w:rFonts w:ascii="Arial" w:eastAsia="Arial Nova" w:hAnsi="Arial" w:cs="Arial"/>
          <w:i/>
          <w:iCs/>
          <w:sz w:val="22"/>
          <w:szCs w:val="22"/>
        </w:rPr>
        <w:t>informe</w:t>
      </w:r>
      <w:proofErr w:type="gramEnd"/>
      <w:r w:rsidRPr="007F1D32">
        <w:rPr>
          <w:rFonts w:ascii="Arial" w:eastAsia="Arial Nova" w:hAnsi="Arial" w:cs="Arial"/>
          <w:i/>
          <w:iCs/>
          <w:sz w:val="22"/>
          <w:szCs w:val="22"/>
        </w:rPr>
        <w:t xml:space="preserve"> por vía escrita si las diputadas electas en la fórmula 6 (seis), por la vía de representación proporcional reúnen los requisitos de elegibilidad establecidos por la Constitución local y por el Código electoral del Estado”. </w:t>
      </w:r>
    </w:p>
    <w:p w14:paraId="638C9B62" w14:textId="77777777" w:rsidR="0077621B" w:rsidRDefault="0077621B" w:rsidP="0077621B">
      <w:pPr>
        <w:pBdr>
          <w:top w:val="nil"/>
          <w:left w:val="nil"/>
          <w:bottom w:val="nil"/>
          <w:right w:val="nil"/>
          <w:between w:val="nil"/>
        </w:pBdr>
        <w:tabs>
          <w:tab w:val="left" w:pos="567"/>
          <w:tab w:val="left" w:pos="8505"/>
        </w:tabs>
        <w:spacing w:line="360" w:lineRule="auto"/>
        <w:ind w:left="567" w:right="616"/>
        <w:jc w:val="both"/>
        <w:rPr>
          <w:rFonts w:ascii="Arial" w:eastAsia="Arial Nova" w:hAnsi="Arial" w:cs="Arial"/>
          <w:sz w:val="22"/>
          <w:szCs w:val="22"/>
        </w:rPr>
      </w:pPr>
    </w:p>
    <w:p w14:paraId="2431DDD6" w14:textId="1B5B2071" w:rsidR="0077621B" w:rsidRDefault="0077621B" w:rsidP="0077621B">
      <w:pPr>
        <w:pBdr>
          <w:top w:val="nil"/>
          <w:left w:val="nil"/>
          <w:bottom w:val="nil"/>
          <w:right w:val="nil"/>
          <w:between w:val="nil"/>
        </w:pBdr>
        <w:tabs>
          <w:tab w:val="left" w:pos="567"/>
          <w:tab w:val="left" w:pos="8505"/>
        </w:tabs>
        <w:spacing w:line="360" w:lineRule="auto"/>
        <w:ind w:right="36"/>
        <w:jc w:val="both"/>
        <w:rPr>
          <w:rFonts w:ascii="Arial" w:eastAsia="Arial Nova" w:hAnsi="Arial" w:cs="Arial"/>
          <w:sz w:val="22"/>
          <w:szCs w:val="22"/>
        </w:rPr>
      </w:pPr>
      <w:r>
        <w:rPr>
          <w:rFonts w:ascii="Arial" w:eastAsia="Arial Nova" w:hAnsi="Arial" w:cs="Arial"/>
          <w:sz w:val="22"/>
          <w:szCs w:val="22"/>
        </w:rPr>
        <w:t xml:space="preserve">De lo anterior, es evidente que la promovente era conocedora de la situación de sus candidaturas, puesto que su hecho número 8, solicitaba información de “las candidatas asignadas en la fórmula 6”, posteriormente en hecho número 9, incluso menciona como “diputadas electas”, de lo que sin duda se advierte su pleno conocimiento, por lo menos </w:t>
      </w:r>
      <w:r w:rsidR="002F1D77">
        <w:rPr>
          <w:rFonts w:ascii="Arial" w:eastAsia="Arial Nova" w:hAnsi="Arial" w:cs="Arial"/>
          <w:sz w:val="22"/>
          <w:szCs w:val="22"/>
        </w:rPr>
        <w:t xml:space="preserve">desde </w:t>
      </w:r>
      <w:r>
        <w:rPr>
          <w:rFonts w:ascii="Arial" w:eastAsia="Arial Nova" w:hAnsi="Arial" w:cs="Arial"/>
          <w:sz w:val="22"/>
          <w:szCs w:val="22"/>
        </w:rPr>
        <w:t>el día trece de julio.</w:t>
      </w:r>
    </w:p>
    <w:p w14:paraId="28182F6A" w14:textId="77777777" w:rsidR="0077621B" w:rsidRDefault="0077621B" w:rsidP="0077621B">
      <w:pPr>
        <w:pBdr>
          <w:top w:val="nil"/>
          <w:left w:val="nil"/>
          <w:bottom w:val="nil"/>
          <w:right w:val="nil"/>
          <w:between w:val="nil"/>
        </w:pBdr>
        <w:tabs>
          <w:tab w:val="left" w:pos="567"/>
          <w:tab w:val="left" w:pos="8505"/>
        </w:tabs>
        <w:spacing w:line="360" w:lineRule="auto"/>
        <w:ind w:right="36"/>
        <w:jc w:val="both"/>
        <w:rPr>
          <w:rFonts w:ascii="Arial" w:eastAsia="Arial Nova" w:hAnsi="Arial" w:cs="Arial"/>
          <w:sz w:val="22"/>
          <w:szCs w:val="22"/>
        </w:rPr>
      </w:pPr>
    </w:p>
    <w:p w14:paraId="42DFB2B9" w14:textId="52905390" w:rsidR="0077621B" w:rsidRDefault="0077621B" w:rsidP="0077621B">
      <w:pPr>
        <w:pBdr>
          <w:top w:val="nil"/>
          <w:left w:val="nil"/>
          <w:bottom w:val="nil"/>
          <w:right w:val="nil"/>
          <w:between w:val="nil"/>
        </w:pBdr>
        <w:tabs>
          <w:tab w:val="left" w:pos="567"/>
          <w:tab w:val="left" w:pos="8505"/>
        </w:tabs>
        <w:spacing w:line="360" w:lineRule="auto"/>
        <w:ind w:right="36"/>
        <w:jc w:val="both"/>
        <w:rPr>
          <w:rFonts w:ascii="Arial" w:eastAsia="Arial Nova" w:hAnsi="Arial" w:cs="Arial"/>
          <w:sz w:val="22"/>
          <w:szCs w:val="22"/>
        </w:rPr>
      </w:pPr>
      <w:r>
        <w:rPr>
          <w:rFonts w:ascii="Arial" w:eastAsia="Arial Nova" w:hAnsi="Arial" w:cs="Arial"/>
          <w:sz w:val="22"/>
          <w:szCs w:val="22"/>
        </w:rPr>
        <w:t>En tal entendido, en caso de considerar ésta última fecha, como la indicadora de que tuvo conocimiento, su oportunidad para impugnar</w:t>
      </w:r>
      <w:r w:rsidR="002F1D77">
        <w:rPr>
          <w:rFonts w:ascii="Arial" w:eastAsia="Arial Nova" w:hAnsi="Arial" w:cs="Arial"/>
          <w:sz w:val="22"/>
          <w:szCs w:val="22"/>
        </w:rPr>
        <w:t xml:space="preserve"> hubiera</w:t>
      </w:r>
      <w:r>
        <w:rPr>
          <w:rFonts w:ascii="Arial" w:eastAsia="Arial Nova" w:hAnsi="Arial" w:cs="Arial"/>
          <w:sz w:val="22"/>
          <w:szCs w:val="22"/>
        </w:rPr>
        <w:t xml:space="preserve"> transcurri</w:t>
      </w:r>
      <w:r w:rsidR="002F1D77">
        <w:rPr>
          <w:rFonts w:ascii="Arial" w:eastAsia="Arial Nova" w:hAnsi="Arial" w:cs="Arial"/>
          <w:sz w:val="22"/>
          <w:szCs w:val="22"/>
        </w:rPr>
        <w:t>do</w:t>
      </w:r>
      <w:r>
        <w:rPr>
          <w:rFonts w:ascii="Arial" w:eastAsia="Arial Nova" w:hAnsi="Arial" w:cs="Arial"/>
          <w:sz w:val="22"/>
          <w:szCs w:val="22"/>
        </w:rPr>
        <w:t xml:space="preserve"> de</w:t>
      </w:r>
      <w:r w:rsidR="002F1D77">
        <w:rPr>
          <w:rFonts w:ascii="Arial" w:eastAsia="Arial Nova" w:hAnsi="Arial" w:cs="Arial"/>
          <w:sz w:val="22"/>
          <w:szCs w:val="22"/>
        </w:rPr>
        <w:t>l</w:t>
      </w:r>
      <w:r>
        <w:rPr>
          <w:rFonts w:ascii="Arial" w:eastAsia="Arial Nova" w:hAnsi="Arial" w:cs="Arial"/>
          <w:sz w:val="22"/>
          <w:szCs w:val="22"/>
        </w:rPr>
        <w:t xml:space="preserve"> 14 al 17 de julio, interponiendo el presente medio de impugnación hasta el 23 del presente, siendo notoriamente improcedente por extemporáneo.</w:t>
      </w:r>
    </w:p>
    <w:p w14:paraId="529FF0C4" w14:textId="77777777" w:rsidR="0077621B" w:rsidRDefault="0077621B" w:rsidP="00E75714">
      <w:pPr>
        <w:tabs>
          <w:tab w:val="left" w:pos="1635"/>
        </w:tabs>
        <w:spacing w:line="360" w:lineRule="auto"/>
        <w:jc w:val="both"/>
        <w:rPr>
          <w:rFonts w:ascii="Arial" w:hAnsi="Arial" w:cs="Arial"/>
          <w:sz w:val="22"/>
          <w:szCs w:val="22"/>
        </w:rPr>
      </w:pPr>
    </w:p>
    <w:p w14:paraId="24343EC7" w14:textId="5DF47CB5" w:rsidR="00AE6DB4" w:rsidRDefault="00EA363B">
      <w:pPr>
        <w:tabs>
          <w:tab w:val="left" w:pos="1635"/>
        </w:tabs>
        <w:spacing w:line="360" w:lineRule="auto"/>
        <w:jc w:val="both"/>
        <w:rPr>
          <w:rFonts w:ascii="Arial" w:eastAsia="Arial" w:hAnsi="Arial" w:cs="Arial"/>
          <w:b/>
          <w:bCs/>
          <w:sz w:val="22"/>
          <w:szCs w:val="22"/>
        </w:rPr>
      </w:pPr>
      <w:r>
        <w:rPr>
          <w:rFonts w:ascii="Arial" w:eastAsia="Arial" w:hAnsi="Arial" w:cs="Arial"/>
          <w:sz w:val="22"/>
          <w:szCs w:val="22"/>
        </w:rPr>
        <w:t>Consecuentemente</w:t>
      </w:r>
      <w:r w:rsidR="00AE6DB4">
        <w:rPr>
          <w:rFonts w:ascii="Arial" w:eastAsia="Arial" w:hAnsi="Arial" w:cs="Arial"/>
          <w:sz w:val="22"/>
          <w:szCs w:val="22"/>
        </w:rPr>
        <w:t xml:space="preserve">, de las constancias del sumario de mérito, es dable advertir que el plazo a que se ha hecho referencia transcurrió en exceso, </w:t>
      </w:r>
      <w:r w:rsidR="00AE6DB4" w:rsidRPr="00AE6DB4">
        <w:rPr>
          <w:rFonts w:ascii="Arial" w:eastAsia="Arial" w:hAnsi="Arial" w:cs="Arial"/>
          <w:b/>
          <w:bCs/>
          <w:sz w:val="22"/>
          <w:szCs w:val="22"/>
        </w:rPr>
        <w:t>actualizándose la causa de improcedencia consistente</w:t>
      </w:r>
      <w:r w:rsidR="00F86465">
        <w:rPr>
          <w:rFonts w:ascii="Arial" w:eastAsia="Arial" w:hAnsi="Arial" w:cs="Arial"/>
          <w:b/>
          <w:bCs/>
          <w:sz w:val="22"/>
          <w:szCs w:val="22"/>
        </w:rPr>
        <w:t xml:space="preserve"> </w:t>
      </w:r>
      <w:r w:rsidR="00AE6DB4" w:rsidRPr="00AE6DB4">
        <w:rPr>
          <w:rFonts w:ascii="Arial" w:eastAsia="Arial" w:hAnsi="Arial" w:cs="Arial"/>
          <w:b/>
          <w:bCs/>
          <w:sz w:val="22"/>
          <w:szCs w:val="22"/>
        </w:rPr>
        <w:t>en la extemporaneidad de su presentación, debiéndose, en consecuencia, decretar el desechamiento de plano de la demanda.</w:t>
      </w:r>
    </w:p>
    <w:p w14:paraId="54EEA3F1" w14:textId="621446E4" w:rsidR="00AE6DB4" w:rsidRDefault="00AE6DB4">
      <w:pPr>
        <w:tabs>
          <w:tab w:val="left" w:pos="1635"/>
        </w:tabs>
        <w:spacing w:line="360" w:lineRule="auto"/>
        <w:jc w:val="both"/>
        <w:rPr>
          <w:rFonts w:ascii="Arial" w:eastAsia="Arial" w:hAnsi="Arial" w:cs="Arial"/>
          <w:b/>
          <w:bCs/>
          <w:sz w:val="22"/>
          <w:szCs w:val="22"/>
        </w:rPr>
      </w:pPr>
    </w:p>
    <w:p w14:paraId="604DCB22" w14:textId="1713CF54" w:rsidR="00FB310B" w:rsidRDefault="00AE6DB4">
      <w:pPr>
        <w:tabs>
          <w:tab w:val="left" w:pos="1635"/>
        </w:tabs>
        <w:spacing w:line="360" w:lineRule="auto"/>
        <w:jc w:val="both"/>
        <w:rPr>
          <w:rFonts w:ascii="Arial" w:eastAsia="Arial" w:hAnsi="Arial" w:cs="Arial"/>
          <w:sz w:val="22"/>
          <w:szCs w:val="22"/>
        </w:rPr>
      </w:pPr>
      <w:r w:rsidRPr="00AE6DB4">
        <w:rPr>
          <w:rFonts w:ascii="Arial" w:eastAsia="Arial" w:hAnsi="Arial" w:cs="Arial"/>
          <w:sz w:val="22"/>
          <w:szCs w:val="22"/>
        </w:rPr>
        <w:t>Siendo aplicable el criterio que prevalece y sostiene la</w:t>
      </w:r>
      <w:r>
        <w:rPr>
          <w:rFonts w:ascii="Arial" w:eastAsia="Arial" w:hAnsi="Arial" w:cs="Arial"/>
          <w:sz w:val="22"/>
          <w:szCs w:val="22"/>
        </w:rPr>
        <w:t xml:space="preserve"> </w:t>
      </w:r>
      <w:r w:rsidRPr="00AE6DB4">
        <w:rPr>
          <w:rFonts w:ascii="Arial" w:eastAsia="Arial" w:hAnsi="Arial" w:cs="Arial"/>
          <w:sz w:val="22"/>
          <w:szCs w:val="22"/>
        </w:rPr>
        <w:t>tesis S3EL</w:t>
      </w:r>
      <w:r>
        <w:rPr>
          <w:rFonts w:ascii="Arial" w:eastAsia="Arial" w:hAnsi="Arial" w:cs="Arial"/>
          <w:sz w:val="22"/>
          <w:szCs w:val="22"/>
        </w:rPr>
        <w:t xml:space="preserve"> </w:t>
      </w:r>
      <w:r w:rsidRPr="00AE6DB4">
        <w:rPr>
          <w:rFonts w:ascii="Arial" w:eastAsia="Arial" w:hAnsi="Arial" w:cs="Arial"/>
          <w:sz w:val="22"/>
          <w:szCs w:val="22"/>
        </w:rPr>
        <w:t>006/99, emitida por la Sala Superior del Tribunal Electoral del Poder Judicial de la Federación, de rubro y contenido siguientes:</w:t>
      </w:r>
    </w:p>
    <w:p w14:paraId="61F916A2" w14:textId="2BE642BC" w:rsidR="00AE6DB4" w:rsidRDefault="00AE6DB4">
      <w:pPr>
        <w:tabs>
          <w:tab w:val="left" w:pos="1635"/>
        </w:tabs>
        <w:spacing w:line="360" w:lineRule="auto"/>
        <w:jc w:val="both"/>
        <w:rPr>
          <w:rFonts w:ascii="Arial" w:eastAsia="Arial" w:hAnsi="Arial" w:cs="Arial"/>
          <w:sz w:val="22"/>
          <w:szCs w:val="22"/>
        </w:rPr>
      </w:pPr>
    </w:p>
    <w:p w14:paraId="3B9ADFC4" w14:textId="2AADE477" w:rsidR="00AE6DB4" w:rsidRPr="00AE6DB4" w:rsidRDefault="00AE6DB4" w:rsidP="00AE6DB4">
      <w:pPr>
        <w:tabs>
          <w:tab w:val="left" w:pos="1635"/>
        </w:tabs>
        <w:spacing w:line="360" w:lineRule="auto"/>
        <w:ind w:left="851" w:right="899"/>
        <w:jc w:val="both"/>
        <w:rPr>
          <w:rFonts w:ascii="Arial" w:eastAsia="Arial" w:hAnsi="Arial" w:cs="Arial"/>
          <w:i/>
          <w:iCs/>
        </w:rPr>
      </w:pPr>
      <w:r w:rsidRPr="00AE6DB4">
        <w:rPr>
          <w:rFonts w:ascii="Arial" w:eastAsia="Arial" w:hAnsi="Arial" w:cs="Arial"/>
          <w:b/>
          <w:bCs/>
          <w:i/>
          <w:iCs/>
        </w:rPr>
        <w:t>“ACTO IMPUGNADO. SU CONOCIMIENTO COMO BASE DEL PLAZO PARA INTERPONER UN MEDIO DE IMPUGNACIÓN</w:t>
      </w:r>
      <w:r w:rsidRPr="00AE6DB4">
        <w:rPr>
          <w:rFonts w:ascii="Arial" w:eastAsia="Arial" w:hAnsi="Arial" w:cs="Arial"/>
          <w:i/>
          <w:iCs/>
        </w:rPr>
        <w:t>.- El artículo 8 de la Ley General del Sistema de Medios de Impugnación en Materia Electoral, establece que los medios de impugnación previstos en ella, deberán presentarse dentro de los cuatro días contados a partir del siguiente a aquél en que se tenga conocimiento del acto o resolución impugnado, o se hubiese notificado de conformidad con la ley aplicable; de esta manera, la recepción documentada de la copia de un fallo pronunciado durante la secuela procedimental, actualiza el primero de los supuestos contemplados en la norma, por tratarse de un acto suficiente para sostener que el interesado ha tenido conocimiento pleno de su contenido y, por ende, considerarla como punto de partida para realizar el cómputo del plazo, pues le permite conocer, de modo indubitable, la totalidad de los fundamentos y motivos que se tuvieron en consideración para su pronunciamiento, así como los puntos resolutivos de la misma y, consecuentemente, estar en aptitud legal de producir una defensa completa y adecuada tendiente a obtener la debida protección de sus derechos, de modo que la notificación posterior de dicha resolución, no puede tenerse como base para computar el aludido plazo, por haberse actualizado el otro supuesto previsto por la ley para ese objeto, con antelación.”</w:t>
      </w:r>
    </w:p>
    <w:p w14:paraId="1FC564F1" w14:textId="72BE4578" w:rsidR="00FB310B" w:rsidRDefault="00FB310B">
      <w:pPr>
        <w:tabs>
          <w:tab w:val="left" w:pos="1635"/>
        </w:tabs>
        <w:spacing w:line="360" w:lineRule="auto"/>
        <w:jc w:val="both"/>
        <w:rPr>
          <w:rFonts w:ascii="Arial" w:eastAsia="Arial" w:hAnsi="Arial" w:cs="Arial"/>
          <w:sz w:val="22"/>
          <w:szCs w:val="22"/>
        </w:rPr>
      </w:pPr>
    </w:p>
    <w:p w14:paraId="087BF738" w14:textId="775B03CD" w:rsidR="00FB310B" w:rsidRDefault="00AE6DB4">
      <w:pPr>
        <w:tabs>
          <w:tab w:val="left" w:pos="1635"/>
        </w:tabs>
        <w:spacing w:line="360" w:lineRule="auto"/>
        <w:jc w:val="both"/>
        <w:rPr>
          <w:rFonts w:ascii="Arial" w:eastAsia="Arial" w:hAnsi="Arial" w:cs="Arial"/>
          <w:sz w:val="22"/>
          <w:szCs w:val="22"/>
        </w:rPr>
      </w:pPr>
      <w:r w:rsidRPr="00AE6DB4">
        <w:rPr>
          <w:rFonts w:ascii="Arial" w:eastAsia="Arial" w:hAnsi="Arial" w:cs="Arial"/>
          <w:sz w:val="22"/>
          <w:szCs w:val="22"/>
        </w:rPr>
        <w:t>Sin que obste a considerar lo contrario, la obligación que tiene toda autoridad del cumplimiento al principio pro persona tutelado por el artículo primero constitucional, el cual consiste en brindar la protección más amplia al gobernado, ello no significa se deba resolver el fondo del asunto, sin que importe la verificación de los requisitos de procedencia para la interposición de cualquier medio de defensa, ya que las formalidades procesales son la vía que hace posible arribar a una adecuada resolución.</w:t>
      </w:r>
    </w:p>
    <w:p w14:paraId="5A2E43D0" w14:textId="36B32BF4" w:rsidR="00F34FE4" w:rsidRDefault="00F34FE4">
      <w:pPr>
        <w:tabs>
          <w:tab w:val="left" w:pos="1635"/>
        </w:tabs>
        <w:spacing w:line="360" w:lineRule="auto"/>
        <w:jc w:val="both"/>
        <w:rPr>
          <w:rFonts w:ascii="Arial" w:eastAsia="Arial" w:hAnsi="Arial" w:cs="Arial"/>
          <w:sz w:val="22"/>
          <w:szCs w:val="22"/>
        </w:rPr>
      </w:pPr>
    </w:p>
    <w:p w14:paraId="12A9F062" w14:textId="07611DA6" w:rsidR="00AE6DB4" w:rsidRDefault="00AE6DB4">
      <w:pPr>
        <w:tabs>
          <w:tab w:val="left" w:pos="1635"/>
        </w:tabs>
        <w:spacing w:line="360" w:lineRule="auto"/>
        <w:jc w:val="both"/>
        <w:rPr>
          <w:rFonts w:ascii="Arial" w:eastAsia="Arial" w:hAnsi="Arial" w:cs="Arial"/>
          <w:sz w:val="22"/>
          <w:szCs w:val="22"/>
        </w:rPr>
      </w:pPr>
      <w:r w:rsidRPr="00AE6DB4">
        <w:rPr>
          <w:rFonts w:ascii="Arial" w:eastAsia="Arial" w:hAnsi="Arial" w:cs="Arial"/>
          <w:sz w:val="22"/>
          <w:szCs w:val="22"/>
        </w:rPr>
        <w:t>Tampoco, el derecho humano de acceso a la justicia protegido por el imperativo 17 de la constitución federal, en base al que toda persona tiene derecho a ser oída con las debidas garantías y dentro de un plazo razonable por un juez o tribunal competente, sin embargo, para ser ejercido es necesario cumplir con los presupuestos procesales formales y materiales de admisibilidad y procedencia, lo cual brinda certeza jurídica.</w:t>
      </w:r>
    </w:p>
    <w:p w14:paraId="33BB2061" w14:textId="2CD5F01F" w:rsidR="00EA363B" w:rsidRDefault="00EA363B">
      <w:pPr>
        <w:tabs>
          <w:tab w:val="left" w:pos="1635"/>
        </w:tabs>
        <w:spacing w:line="360" w:lineRule="auto"/>
        <w:jc w:val="both"/>
        <w:rPr>
          <w:rFonts w:ascii="Arial" w:eastAsia="Arial" w:hAnsi="Arial" w:cs="Arial"/>
          <w:sz w:val="22"/>
          <w:szCs w:val="22"/>
        </w:rPr>
      </w:pPr>
    </w:p>
    <w:p w14:paraId="5407ED7A" w14:textId="2C212400" w:rsidR="00AE6DB4" w:rsidRDefault="00EA363B">
      <w:pPr>
        <w:tabs>
          <w:tab w:val="left" w:pos="1635"/>
        </w:tabs>
        <w:spacing w:line="360" w:lineRule="auto"/>
        <w:jc w:val="both"/>
        <w:rPr>
          <w:rFonts w:ascii="Arial" w:eastAsia="Arial" w:hAnsi="Arial" w:cs="Arial"/>
          <w:sz w:val="22"/>
          <w:szCs w:val="22"/>
        </w:rPr>
      </w:pPr>
      <w:r>
        <w:rPr>
          <w:rFonts w:ascii="Arial" w:eastAsia="Arial" w:hAnsi="Arial" w:cs="Arial"/>
          <w:sz w:val="22"/>
          <w:szCs w:val="22"/>
        </w:rPr>
        <w:t>Por lo que, en aras de garantizar la certeza y definitiv</w:t>
      </w:r>
      <w:r w:rsidR="00EF4319">
        <w:rPr>
          <w:rFonts w:ascii="Arial" w:eastAsia="Arial" w:hAnsi="Arial" w:cs="Arial"/>
          <w:sz w:val="22"/>
          <w:szCs w:val="22"/>
        </w:rPr>
        <w:t>id</w:t>
      </w:r>
      <w:r>
        <w:rPr>
          <w:rFonts w:ascii="Arial" w:eastAsia="Arial" w:hAnsi="Arial" w:cs="Arial"/>
          <w:sz w:val="22"/>
          <w:szCs w:val="22"/>
        </w:rPr>
        <w:t>ad de las etapas ya actos dentro del proceso electoral, se</w:t>
      </w:r>
      <w:r w:rsidR="00AE6DB4" w:rsidRPr="00AE6DB4">
        <w:rPr>
          <w:rFonts w:ascii="Arial" w:eastAsia="Arial" w:hAnsi="Arial" w:cs="Arial"/>
          <w:sz w:val="22"/>
          <w:szCs w:val="22"/>
        </w:rPr>
        <w:t xml:space="preserve"> procede</w:t>
      </w:r>
      <w:r>
        <w:rPr>
          <w:rFonts w:ascii="Arial" w:eastAsia="Arial" w:hAnsi="Arial" w:cs="Arial"/>
          <w:sz w:val="22"/>
          <w:szCs w:val="22"/>
        </w:rPr>
        <w:t xml:space="preserve"> a determinar</w:t>
      </w:r>
      <w:r w:rsidR="00AE6DB4" w:rsidRPr="00AE6DB4">
        <w:rPr>
          <w:rFonts w:ascii="Arial" w:eastAsia="Arial" w:hAnsi="Arial" w:cs="Arial"/>
          <w:sz w:val="22"/>
          <w:szCs w:val="22"/>
        </w:rPr>
        <w:t xml:space="preserve"> el </w:t>
      </w:r>
      <w:r w:rsidR="00AE6DB4" w:rsidRPr="005C7209">
        <w:rPr>
          <w:rFonts w:ascii="Arial" w:eastAsia="Arial" w:hAnsi="Arial" w:cs="Arial"/>
          <w:b/>
          <w:bCs/>
          <w:sz w:val="22"/>
          <w:szCs w:val="22"/>
        </w:rPr>
        <w:t>desechamiento</w:t>
      </w:r>
      <w:r w:rsidR="00AE6DB4" w:rsidRPr="00AE6DB4">
        <w:rPr>
          <w:rFonts w:ascii="Arial" w:eastAsia="Arial" w:hAnsi="Arial" w:cs="Arial"/>
          <w:sz w:val="22"/>
          <w:szCs w:val="22"/>
        </w:rPr>
        <w:t xml:space="preserve"> de plano de </w:t>
      </w:r>
      <w:r w:rsidR="00AE6DB4">
        <w:rPr>
          <w:rFonts w:ascii="Arial" w:eastAsia="Arial" w:hAnsi="Arial" w:cs="Arial"/>
          <w:sz w:val="22"/>
          <w:szCs w:val="22"/>
        </w:rPr>
        <w:t>la demanda.</w:t>
      </w:r>
    </w:p>
    <w:p w14:paraId="23C1EBF3" w14:textId="6185A151" w:rsidR="00B04FFC" w:rsidRDefault="00B04FFC">
      <w:pPr>
        <w:tabs>
          <w:tab w:val="left" w:pos="1635"/>
        </w:tabs>
        <w:spacing w:line="360" w:lineRule="auto"/>
        <w:jc w:val="both"/>
        <w:rPr>
          <w:rFonts w:ascii="Arial" w:eastAsia="Arial" w:hAnsi="Arial" w:cs="Arial"/>
          <w:sz w:val="22"/>
          <w:szCs w:val="22"/>
        </w:rPr>
      </w:pPr>
    </w:p>
    <w:p w14:paraId="3FAD3424" w14:textId="4E8A8D98" w:rsidR="004E20E0" w:rsidRPr="004E20E0" w:rsidRDefault="006028CB" w:rsidP="004E20E0">
      <w:pPr>
        <w:pStyle w:val="Ttulo1"/>
        <w:keepLines w:val="0"/>
        <w:spacing w:before="0" w:line="360" w:lineRule="auto"/>
        <w:jc w:val="both"/>
        <w:rPr>
          <w:rFonts w:ascii="Arial" w:eastAsia="Times New Roman" w:hAnsi="Arial" w:cs="Arial"/>
          <w:b/>
          <w:bCs/>
          <w:color w:val="auto"/>
          <w:sz w:val="22"/>
          <w:szCs w:val="22"/>
        </w:rPr>
      </w:pPr>
      <w:r>
        <w:rPr>
          <w:rFonts w:ascii="Arial" w:eastAsia="Times New Roman" w:hAnsi="Arial" w:cs="Arial"/>
          <w:b/>
          <w:bCs/>
          <w:color w:val="auto"/>
          <w:sz w:val="22"/>
          <w:szCs w:val="22"/>
        </w:rPr>
        <w:t xml:space="preserve">5. </w:t>
      </w:r>
      <w:r w:rsidR="004E20E0" w:rsidRPr="004E20E0">
        <w:rPr>
          <w:rFonts w:ascii="Arial" w:eastAsia="Times New Roman" w:hAnsi="Arial" w:cs="Arial"/>
          <w:b/>
          <w:bCs/>
          <w:color w:val="auto"/>
          <w:sz w:val="22"/>
          <w:szCs w:val="22"/>
        </w:rPr>
        <w:t>RESOLUTIVOS</w:t>
      </w:r>
    </w:p>
    <w:p w14:paraId="72B6319A" w14:textId="77777777" w:rsidR="004E20E0" w:rsidRPr="004E20E0" w:rsidRDefault="004E20E0" w:rsidP="004E20E0">
      <w:pPr>
        <w:spacing w:line="360" w:lineRule="auto"/>
        <w:rPr>
          <w:rFonts w:ascii="Arial" w:hAnsi="Arial" w:cs="Arial"/>
          <w:sz w:val="22"/>
          <w:szCs w:val="22"/>
        </w:rPr>
      </w:pPr>
    </w:p>
    <w:p w14:paraId="5299C9B2" w14:textId="1B54E12B" w:rsidR="004E20E0" w:rsidRPr="004E20E0" w:rsidRDefault="004E20E0" w:rsidP="004E20E0">
      <w:pPr>
        <w:spacing w:line="360" w:lineRule="auto"/>
        <w:jc w:val="both"/>
        <w:rPr>
          <w:rFonts w:ascii="Arial" w:eastAsia="Arial" w:hAnsi="Arial" w:cs="Arial"/>
          <w:sz w:val="22"/>
          <w:szCs w:val="22"/>
        </w:rPr>
      </w:pPr>
      <w:r w:rsidRPr="004E20E0">
        <w:rPr>
          <w:rFonts w:ascii="Arial" w:eastAsia="Arial" w:hAnsi="Arial" w:cs="Arial"/>
          <w:b/>
          <w:sz w:val="22"/>
          <w:szCs w:val="22"/>
        </w:rPr>
        <w:t>ÚNICO</w:t>
      </w:r>
      <w:r w:rsidRPr="004E20E0">
        <w:rPr>
          <w:rFonts w:ascii="Arial" w:eastAsia="Arial" w:hAnsi="Arial" w:cs="Arial"/>
          <w:sz w:val="22"/>
          <w:szCs w:val="22"/>
        </w:rPr>
        <w:t xml:space="preserve">. – </w:t>
      </w:r>
      <w:r w:rsidR="007D0AB8">
        <w:rPr>
          <w:rFonts w:ascii="Arial" w:eastAsia="Arial" w:hAnsi="Arial" w:cs="Arial"/>
          <w:sz w:val="22"/>
          <w:szCs w:val="22"/>
        </w:rPr>
        <w:t xml:space="preserve">Se </w:t>
      </w:r>
      <w:r w:rsidR="00AE6DB4" w:rsidRPr="00EF4319">
        <w:rPr>
          <w:rFonts w:ascii="Arial" w:eastAsia="Arial" w:hAnsi="Arial" w:cs="Arial"/>
          <w:b/>
          <w:bCs/>
          <w:sz w:val="22"/>
          <w:szCs w:val="22"/>
        </w:rPr>
        <w:t xml:space="preserve">desecha </w:t>
      </w:r>
      <w:r w:rsidR="00AE6DB4">
        <w:rPr>
          <w:rFonts w:ascii="Arial" w:eastAsia="Arial" w:hAnsi="Arial" w:cs="Arial"/>
          <w:sz w:val="22"/>
          <w:szCs w:val="22"/>
        </w:rPr>
        <w:t xml:space="preserve">de plano </w:t>
      </w:r>
      <w:r w:rsidR="00EF4319">
        <w:rPr>
          <w:rFonts w:ascii="Arial" w:eastAsia="Arial" w:hAnsi="Arial" w:cs="Arial"/>
          <w:sz w:val="22"/>
          <w:szCs w:val="22"/>
        </w:rPr>
        <w:t>la demanda</w:t>
      </w:r>
      <w:r w:rsidR="00AE6DB4">
        <w:rPr>
          <w:rFonts w:ascii="Arial" w:eastAsia="Arial" w:hAnsi="Arial" w:cs="Arial"/>
          <w:sz w:val="22"/>
          <w:szCs w:val="22"/>
        </w:rPr>
        <w:t>.</w:t>
      </w:r>
    </w:p>
    <w:p w14:paraId="70DB891A" w14:textId="77777777" w:rsidR="004E20E0" w:rsidRPr="004E20E0" w:rsidRDefault="004E20E0" w:rsidP="004E20E0">
      <w:pPr>
        <w:spacing w:line="360" w:lineRule="auto"/>
        <w:jc w:val="both"/>
        <w:rPr>
          <w:rFonts w:ascii="Arial" w:eastAsia="Arial" w:hAnsi="Arial" w:cs="Arial"/>
          <w:sz w:val="22"/>
          <w:szCs w:val="22"/>
        </w:rPr>
      </w:pPr>
    </w:p>
    <w:p w14:paraId="3127A9AD" w14:textId="77777777" w:rsidR="004E20E0" w:rsidRPr="004E20E0" w:rsidRDefault="004E20E0" w:rsidP="004E20E0">
      <w:pPr>
        <w:pBdr>
          <w:top w:val="nil"/>
          <w:left w:val="nil"/>
          <w:bottom w:val="nil"/>
          <w:right w:val="nil"/>
          <w:between w:val="nil"/>
        </w:pBdr>
        <w:spacing w:line="360" w:lineRule="auto"/>
        <w:jc w:val="both"/>
        <w:rPr>
          <w:rFonts w:ascii="Arial" w:eastAsia="Arial" w:hAnsi="Arial" w:cs="Arial"/>
          <w:color w:val="000000"/>
          <w:sz w:val="22"/>
          <w:szCs w:val="22"/>
        </w:rPr>
      </w:pPr>
      <w:r w:rsidRPr="004E20E0">
        <w:rPr>
          <w:rFonts w:ascii="Arial" w:eastAsia="Arial" w:hAnsi="Arial" w:cs="Arial"/>
          <w:b/>
          <w:color w:val="000000"/>
          <w:sz w:val="22"/>
          <w:szCs w:val="22"/>
        </w:rPr>
        <w:t xml:space="preserve">NOTIFÍQUESE </w:t>
      </w:r>
      <w:r w:rsidRPr="004E20E0">
        <w:rPr>
          <w:rFonts w:ascii="Arial" w:eastAsia="Arial" w:hAnsi="Arial" w:cs="Arial"/>
          <w:color w:val="000000"/>
          <w:sz w:val="22"/>
          <w:szCs w:val="22"/>
        </w:rPr>
        <w:t xml:space="preserve">como en derecho corresponda y en su oportunidad archívese el presente expediente como asunto concluido. </w:t>
      </w:r>
    </w:p>
    <w:p w14:paraId="59A515CE" w14:textId="77777777" w:rsidR="004E20E0" w:rsidRPr="004E20E0" w:rsidRDefault="004E20E0" w:rsidP="004E20E0">
      <w:pPr>
        <w:pBdr>
          <w:top w:val="nil"/>
          <w:left w:val="nil"/>
          <w:bottom w:val="nil"/>
          <w:right w:val="nil"/>
          <w:between w:val="nil"/>
        </w:pBdr>
        <w:spacing w:line="360" w:lineRule="auto"/>
        <w:jc w:val="both"/>
        <w:rPr>
          <w:rFonts w:ascii="Arial" w:eastAsia="Arial" w:hAnsi="Arial" w:cs="Arial"/>
          <w:color w:val="000000"/>
          <w:sz w:val="22"/>
          <w:szCs w:val="22"/>
        </w:rPr>
      </w:pPr>
    </w:p>
    <w:p w14:paraId="2D427660" w14:textId="77777777" w:rsidR="004E20E0" w:rsidRPr="004E20E0" w:rsidRDefault="004E20E0" w:rsidP="004E20E0">
      <w:pPr>
        <w:pBdr>
          <w:top w:val="nil"/>
          <w:left w:val="nil"/>
          <w:bottom w:val="nil"/>
          <w:right w:val="nil"/>
          <w:between w:val="nil"/>
        </w:pBdr>
        <w:spacing w:line="360" w:lineRule="auto"/>
        <w:jc w:val="both"/>
        <w:rPr>
          <w:rFonts w:ascii="Arial" w:eastAsia="Arial" w:hAnsi="Arial" w:cs="Arial"/>
          <w:color w:val="000000"/>
          <w:sz w:val="22"/>
          <w:szCs w:val="22"/>
        </w:rPr>
      </w:pPr>
      <w:r w:rsidRPr="004E20E0">
        <w:rPr>
          <w:rFonts w:ascii="Arial" w:eastAsia="Arial" w:hAnsi="Arial" w:cs="Arial"/>
          <w:color w:val="000000"/>
          <w:sz w:val="22"/>
          <w:szCs w:val="22"/>
        </w:rPr>
        <w:t xml:space="preserve">Así lo resolvió el Tribunal Electoral del Estado de Aguascalientes, por unanimidad de votos de las Magistradas y el Magistrado que lo integran, ante el </w:t>
      </w:r>
      <w:proofErr w:type="gramStart"/>
      <w:r w:rsidRPr="004E20E0">
        <w:rPr>
          <w:rFonts w:ascii="Arial" w:eastAsia="Arial" w:hAnsi="Arial" w:cs="Arial"/>
          <w:color w:val="000000"/>
          <w:sz w:val="22"/>
          <w:szCs w:val="22"/>
        </w:rPr>
        <w:t>Secretario General</w:t>
      </w:r>
      <w:proofErr w:type="gramEnd"/>
      <w:r w:rsidRPr="004E20E0">
        <w:rPr>
          <w:rFonts w:ascii="Arial" w:eastAsia="Arial" w:hAnsi="Arial" w:cs="Arial"/>
          <w:color w:val="000000"/>
          <w:sz w:val="22"/>
          <w:szCs w:val="22"/>
        </w:rPr>
        <w:t xml:space="preserve"> de Acuerdos, quien autoriza y da fe.  </w:t>
      </w:r>
    </w:p>
    <w:p w14:paraId="3317CB16" w14:textId="13077A48" w:rsidR="0028404C" w:rsidRPr="001F7A19" w:rsidRDefault="0028404C">
      <w:pPr>
        <w:pBdr>
          <w:top w:val="nil"/>
          <w:left w:val="nil"/>
          <w:bottom w:val="nil"/>
          <w:right w:val="nil"/>
          <w:between w:val="nil"/>
        </w:pBdr>
        <w:spacing w:line="360" w:lineRule="auto"/>
        <w:jc w:val="both"/>
        <w:rPr>
          <w:rFonts w:ascii="Arial" w:eastAsia="Arial" w:hAnsi="Arial" w:cs="Arial"/>
          <w:sz w:val="23"/>
          <w:szCs w:val="23"/>
        </w:rPr>
      </w:pPr>
    </w:p>
    <w:tbl>
      <w:tblPr>
        <w:tblStyle w:val="a2"/>
        <w:tblW w:w="814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067"/>
        <w:gridCol w:w="4075"/>
      </w:tblGrid>
      <w:tr w:rsidR="0028404C" w:rsidRPr="001F7A19" w14:paraId="7BA7A31D" w14:textId="77777777" w:rsidTr="00C93D8E">
        <w:trPr>
          <w:trHeight w:val="1967"/>
        </w:trPr>
        <w:tc>
          <w:tcPr>
            <w:tcW w:w="8142" w:type="dxa"/>
            <w:gridSpan w:val="2"/>
          </w:tcPr>
          <w:p w14:paraId="32D6DA6B" w14:textId="245DAB0A"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MAGISTRADA PRESIDENTA</w:t>
            </w:r>
          </w:p>
          <w:p w14:paraId="77860306" w14:textId="77777777" w:rsidR="0028404C" w:rsidRPr="001F7A19" w:rsidRDefault="0028404C">
            <w:pPr>
              <w:pBdr>
                <w:top w:val="nil"/>
                <w:left w:val="nil"/>
                <w:bottom w:val="nil"/>
                <w:right w:val="nil"/>
                <w:between w:val="nil"/>
              </w:pBdr>
              <w:spacing w:line="360" w:lineRule="auto"/>
              <w:jc w:val="center"/>
              <w:rPr>
                <w:rFonts w:ascii="Arial" w:eastAsia="Arial" w:hAnsi="Arial" w:cs="Arial"/>
                <w:b/>
                <w:sz w:val="23"/>
                <w:szCs w:val="23"/>
              </w:rPr>
            </w:pPr>
          </w:p>
          <w:p w14:paraId="04458FBB" w14:textId="77777777"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CLAUDIA ELOISA DÍAZ DE LEÓN GONZÁLEZ</w:t>
            </w:r>
          </w:p>
        </w:tc>
      </w:tr>
      <w:tr w:rsidR="0028404C" w:rsidRPr="001F7A19" w14:paraId="5D88F305" w14:textId="77777777" w:rsidTr="00C93D8E">
        <w:trPr>
          <w:trHeight w:val="1997"/>
        </w:trPr>
        <w:tc>
          <w:tcPr>
            <w:tcW w:w="4067" w:type="dxa"/>
          </w:tcPr>
          <w:p w14:paraId="692999DA" w14:textId="38776F42"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MAGISTRADA</w:t>
            </w:r>
          </w:p>
          <w:p w14:paraId="2CBF8840" w14:textId="4AC0F75B" w:rsidR="0028404C" w:rsidRPr="001F7A19" w:rsidRDefault="0028404C">
            <w:pPr>
              <w:pBdr>
                <w:top w:val="nil"/>
                <w:left w:val="nil"/>
                <w:bottom w:val="nil"/>
                <w:right w:val="nil"/>
                <w:between w:val="nil"/>
              </w:pBdr>
              <w:spacing w:line="360" w:lineRule="auto"/>
              <w:jc w:val="center"/>
              <w:rPr>
                <w:rFonts w:ascii="Arial" w:eastAsia="Arial" w:hAnsi="Arial" w:cs="Arial"/>
                <w:b/>
                <w:sz w:val="23"/>
                <w:szCs w:val="23"/>
              </w:rPr>
            </w:pPr>
          </w:p>
          <w:p w14:paraId="4ADAD199" w14:textId="78DA35D5"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 xml:space="preserve">LAURA HORTENSIA </w:t>
            </w:r>
          </w:p>
          <w:p w14:paraId="47A7A5F6" w14:textId="77777777"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LLAMAS HERNÁNDEZ</w:t>
            </w:r>
          </w:p>
        </w:tc>
        <w:tc>
          <w:tcPr>
            <w:tcW w:w="4074" w:type="dxa"/>
          </w:tcPr>
          <w:p w14:paraId="05969DDF" w14:textId="29790FBE"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MAGISTRADO</w:t>
            </w:r>
          </w:p>
          <w:p w14:paraId="7E331CC5" w14:textId="77777777" w:rsidR="0028404C" w:rsidRPr="001F7A19" w:rsidRDefault="0028404C">
            <w:pPr>
              <w:pBdr>
                <w:top w:val="nil"/>
                <w:left w:val="nil"/>
                <w:bottom w:val="nil"/>
                <w:right w:val="nil"/>
                <w:between w:val="nil"/>
              </w:pBdr>
              <w:spacing w:line="360" w:lineRule="auto"/>
              <w:jc w:val="center"/>
              <w:rPr>
                <w:rFonts w:ascii="Arial" w:eastAsia="Arial" w:hAnsi="Arial" w:cs="Arial"/>
                <w:b/>
                <w:sz w:val="23"/>
                <w:szCs w:val="23"/>
              </w:rPr>
            </w:pPr>
          </w:p>
          <w:p w14:paraId="7E13B0BA" w14:textId="77777777"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 xml:space="preserve">HÉCTOR SALVADOR </w:t>
            </w:r>
          </w:p>
          <w:p w14:paraId="546FBBEA" w14:textId="77777777"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HERNÁNDEZ GALLEGOS</w:t>
            </w:r>
          </w:p>
        </w:tc>
      </w:tr>
      <w:tr w:rsidR="0028404C" w:rsidRPr="001F7A19" w14:paraId="2429D256" w14:textId="77777777" w:rsidTr="00C93D8E">
        <w:trPr>
          <w:trHeight w:val="1600"/>
        </w:trPr>
        <w:tc>
          <w:tcPr>
            <w:tcW w:w="8142" w:type="dxa"/>
            <w:gridSpan w:val="2"/>
          </w:tcPr>
          <w:p w14:paraId="69E0000C" w14:textId="58F3FB89"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 xml:space="preserve">    </w:t>
            </w:r>
          </w:p>
          <w:p w14:paraId="516EC884" w14:textId="77B2247B"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SECRETARIO DE ACUERDOS</w:t>
            </w:r>
          </w:p>
          <w:p w14:paraId="3F6F23D7" w14:textId="77777777" w:rsidR="0028404C" w:rsidRPr="001F7A19" w:rsidRDefault="0028404C">
            <w:pPr>
              <w:pBdr>
                <w:top w:val="nil"/>
                <w:left w:val="nil"/>
                <w:bottom w:val="nil"/>
                <w:right w:val="nil"/>
                <w:between w:val="nil"/>
              </w:pBdr>
              <w:spacing w:line="360" w:lineRule="auto"/>
              <w:jc w:val="center"/>
              <w:rPr>
                <w:rFonts w:ascii="Arial" w:eastAsia="Arial" w:hAnsi="Arial" w:cs="Arial"/>
                <w:b/>
                <w:sz w:val="23"/>
                <w:szCs w:val="23"/>
              </w:rPr>
            </w:pPr>
          </w:p>
          <w:p w14:paraId="25BECF77" w14:textId="77777777"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JESÚS OCIEL BAENA SUCEDO</w:t>
            </w:r>
          </w:p>
        </w:tc>
      </w:tr>
    </w:tbl>
    <w:p w14:paraId="0BCD51C7" w14:textId="2B63ADED" w:rsidR="0028404C" w:rsidRPr="00644D39" w:rsidRDefault="00EA44A4">
      <w:pPr>
        <w:tabs>
          <w:tab w:val="left" w:pos="4320"/>
        </w:tabs>
        <w:rPr>
          <w:rFonts w:ascii="Arial" w:eastAsia="Arial" w:hAnsi="Arial" w:cs="Arial"/>
          <w:sz w:val="22"/>
          <w:szCs w:val="22"/>
        </w:rPr>
      </w:pPr>
      <w:r w:rsidRPr="00644D39">
        <w:rPr>
          <w:rFonts w:ascii="Arial" w:eastAsia="Arial" w:hAnsi="Arial" w:cs="Arial"/>
          <w:sz w:val="22"/>
          <w:szCs w:val="22"/>
        </w:rPr>
        <w:tab/>
      </w:r>
      <w:bookmarkEnd w:id="1"/>
    </w:p>
    <w:sectPr w:rsidR="0028404C" w:rsidRPr="00644D39">
      <w:headerReference w:type="even" r:id="rId8"/>
      <w:headerReference w:type="default" r:id="rId9"/>
      <w:footerReference w:type="even" r:id="rId10"/>
      <w:footerReference w:type="default" r:id="rId11"/>
      <w:headerReference w:type="first" r:id="rId12"/>
      <w:footerReference w:type="first" r:id="rId13"/>
      <w:pgSz w:w="12240" w:h="20160"/>
      <w:pgMar w:top="2552" w:right="1134"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582F" w14:textId="77777777" w:rsidR="007A5DC3" w:rsidRDefault="007A5DC3">
      <w:r>
        <w:separator/>
      </w:r>
    </w:p>
  </w:endnote>
  <w:endnote w:type="continuationSeparator" w:id="0">
    <w:p w14:paraId="424484FF" w14:textId="77777777" w:rsidR="007A5DC3" w:rsidRDefault="007A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24A4" w14:textId="77777777" w:rsidR="00816064" w:rsidRDefault="008160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6796" w14:textId="77777777" w:rsidR="00C41D29" w:rsidRDefault="00C41D29">
    <w:pPr>
      <w:pBdr>
        <w:top w:val="nil"/>
        <w:left w:val="nil"/>
        <w:bottom w:val="nil"/>
        <w:right w:val="nil"/>
        <w:between w:val="nil"/>
      </w:pBdr>
      <w:tabs>
        <w:tab w:val="center" w:pos="4419"/>
        <w:tab w:val="right" w:pos="8838"/>
      </w:tabs>
      <w:rPr>
        <w:color w:val="000000"/>
      </w:rPr>
    </w:pPr>
    <w:r>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F984" w14:textId="77777777" w:rsidR="00816064" w:rsidRDefault="008160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7981" w14:textId="77777777" w:rsidR="007A5DC3" w:rsidRDefault="007A5DC3">
      <w:r>
        <w:separator/>
      </w:r>
    </w:p>
  </w:footnote>
  <w:footnote w:type="continuationSeparator" w:id="0">
    <w:p w14:paraId="3B057CF2" w14:textId="77777777" w:rsidR="007A5DC3" w:rsidRDefault="007A5DC3">
      <w:r>
        <w:continuationSeparator/>
      </w:r>
    </w:p>
  </w:footnote>
  <w:footnote w:id="1">
    <w:p w14:paraId="4E133167" w14:textId="77777777" w:rsidR="00C41D29" w:rsidRPr="00360D40" w:rsidRDefault="00C41D29">
      <w:pPr>
        <w:pBdr>
          <w:top w:val="nil"/>
          <w:left w:val="nil"/>
          <w:bottom w:val="nil"/>
          <w:right w:val="nil"/>
          <w:between w:val="nil"/>
        </w:pBdr>
        <w:rPr>
          <w:rFonts w:ascii="Arial" w:eastAsia="Arial" w:hAnsi="Arial" w:cs="Arial"/>
          <w:color w:val="000000"/>
          <w:sz w:val="18"/>
          <w:szCs w:val="18"/>
        </w:rPr>
      </w:pPr>
      <w:r w:rsidRPr="00360D40">
        <w:rPr>
          <w:rFonts w:ascii="Arial" w:hAnsi="Arial" w:cs="Arial"/>
          <w:sz w:val="18"/>
          <w:szCs w:val="18"/>
          <w:vertAlign w:val="superscript"/>
        </w:rPr>
        <w:footnoteRef/>
      </w:r>
      <w:r w:rsidRPr="00360D40">
        <w:rPr>
          <w:rFonts w:ascii="Arial" w:eastAsia="Arial" w:hAnsi="Arial" w:cs="Arial"/>
          <w:color w:val="000000"/>
          <w:sz w:val="18"/>
          <w:szCs w:val="18"/>
        </w:rPr>
        <w:t xml:space="preserve"> Todas las fechas corresponden al dos </w:t>
      </w:r>
      <w:proofErr w:type="gramStart"/>
      <w:r w:rsidRPr="00360D40">
        <w:rPr>
          <w:rFonts w:ascii="Arial" w:eastAsia="Arial" w:hAnsi="Arial" w:cs="Arial"/>
          <w:color w:val="000000"/>
          <w:sz w:val="18"/>
          <w:szCs w:val="18"/>
        </w:rPr>
        <w:t>mil veintiuno</w:t>
      </w:r>
      <w:proofErr w:type="gramEnd"/>
      <w:r w:rsidRPr="00360D40">
        <w:rPr>
          <w:rFonts w:ascii="Arial" w:eastAsia="Arial" w:hAnsi="Arial" w:cs="Arial"/>
          <w:color w:val="000000"/>
          <w:sz w:val="18"/>
          <w:szCs w:val="18"/>
        </w:rPr>
        <w:t xml:space="preserve"> salvo precisión en lo contrario.</w:t>
      </w:r>
    </w:p>
  </w:footnote>
  <w:footnote w:id="2">
    <w:p w14:paraId="37FC4FE3" w14:textId="77777777" w:rsidR="006028CB" w:rsidRPr="00E1551D" w:rsidRDefault="006028CB" w:rsidP="006028CB">
      <w:pPr>
        <w:pStyle w:val="Textonotapie"/>
        <w:rPr>
          <w:rFonts w:ascii="Arial" w:hAnsi="Arial" w:cs="Arial"/>
        </w:rPr>
      </w:pPr>
      <w:r w:rsidRPr="00E1551D">
        <w:rPr>
          <w:rStyle w:val="Refdenotaalpie"/>
          <w:rFonts w:ascii="Arial" w:hAnsi="Arial" w:cs="Arial"/>
          <w:sz w:val="18"/>
          <w:szCs w:val="18"/>
        </w:rPr>
        <w:footnoteRef/>
      </w:r>
      <w:r w:rsidRPr="00E1551D">
        <w:rPr>
          <w:rFonts w:ascii="Arial" w:hAnsi="Arial" w:cs="Arial"/>
          <w:sz w:val="18"/>
          <w:szCs w:val="18"/>
        </w:rPr>
        <w:t xml:space="preserve"> CG-A-54/21</w:t>
      </w:r>
    </w:p>
  </w:footnote>
  <w:footnote w:id="3">
    <w:p w14:paraId="734439B4" w14:textId="252FB6C3" w:rsidR="003B0BB1" w:rsidRPr="00F308A1" w:rsidRDefault="003B0BB1">
      <w:pPr>
        <w:pStyle w:val="Textonotapie"/>
        <w:rPr>
          <w:rFonts w:ascii="Arial" w:hAnsi="Arial" w:cs="Arial"/>
        </w:rPr>
      </w:pPr>
      <w:r w:rsidRPr="00F308A1">
        <w:rPr>
          <w:rStyle w:val="Refdenotaalpie"/>
          <w:rFonts w:ascii="Arial" w:hAnsi="Arial" w:cs="Arial"/>
          <w:sz w:val="18"/>
          <w:szCs w:val="18"/>
        </w:rPr>
        <w:footnoteRef/>
      </w:r>
      <w:r w:rsidRPr="00F308A1">
        <w:rPr>
          <w:rFonts w:ascii="Arial" w:hAnsi="Arial" w:cs="Arial"/>
          <w:sz w:val="18"/>
          <w:szCs w:val="18"/>
        </w:rPr>
        <w:t xml:space="preserve"> Registro 222789, tesis II.1º. J/5, Octava Época publicada en el Semanario Judicial de la Federación.</w:t>
      </w:r>
    </w:p>
  </w:footnote>
  <w:footnote w:id="4">
    <w:p w14:paraId="3A27CADF" w14:textId="458794E0" w:rsidR="00A94F66" w:rsidRPr="00A94F66" w:rsidRDefault="00A94F66">
      <w:pPr>
        <w:pStyle w:val="Textonotapie"/>
        <w:rPr>
          <w:rFonts w:ascii="Arial" w:hAnsi="Arial" w:cs="Arial"/>
          <w:sz w:val="18"/>
          <w:szCs w:val="18"/>
        </w:rPr>
      </w:pPr>
      <w:r w:rsidRPr="00A94F66">
        <w:rPr>
          <w:rStyle w:val="Refdenotaalpie"/>
          <w:rFonts w:ascii="Arial" w:hAnsi="Arial" w:cs="Arial"/>
          <w:sz w:val="18"/>
          <w:szCs w:val="18"/>
        </w:rPr>
        <w:footnoteRef/>
      </w:r>
      <w:r w:rsidRPr="00A94F66">
        <w:rPr>
          <w:rFonts w:ascii="Arial" w:hAnsi="Arial" w:cs="Arial"/>
          <w:sz w:val="18"/>
          <w:szCs w:val="18"/>
        </w:rPr>
        <w:t xml:space="preserve"> C</w:t>
      </w:r>
      <w:r w:rsidRPr="00A94F66">
        <w:rPr>
          <w:rFonts w:ascii="Arial" w:eastAsia="Arial" w:hAnsi="Arial" w:cs="Arial"/>
          <w:sz w:val="18"/>
          <w:szCs w:val="18"/>
        </w:rPr>
        <w:t>onforme a la jurisprudencia 11/97, de rubro: “</w:t>
      </w:r>
      <w:r w:rsidRPr="00A94F66">
        <w:rPr>
          <w:rFonts w:ascii="Arial" w:eastAsia="Arial" w:hAnsi="Arial" w:cs="Arial"/>
          <w:b/>
          <w:bCs/>
          <w:sz w:val="18"/>
          <w:szCs w:val="18"/>
        </w:rPr>
        <w:t>ELEGIBILIDAD DE CANDIDATOS. OPORTUNIDAD PARA SU ANÁLISIS E IMPUGNACIÓN</w:t>
      </w:r>
    </w:p>
  </w:footnote>
  <w:footnote w:id="5">
    <w:p w14:paraId="62BA68AF" w14:textId="278C5702" w:rsidR="004224ED" w:rsidRPr="00951DDA" w:rsidRDefault="004224ED" w:rsidP="00951DDA">
      <w:pPr>
        <w:pStyle w:val="Textonotapie"/>
        <w:jc w:val="both"/>
        <w:rPr>
          <w:rFonts w:ascii="Arial" w:hAnsi="Arial" w:cs="Arial"/>
          <w:sz w:val="18"/>
          <w:szCs w:val="18"/>
        </w:rPr>
      </w:pPr>
      <w:r w:rsidRPr="00951DDA">
        <w:rPr>
          <w:rStyle w:val="Refdenotaalpie"/>
          <w:rFonts w:ascii="Arial" w:hAnsi="Arial" w:cs="Arial"/>
          <w:sz w:val="18"/>
          <w:szCs w:val="18"/>
        </w:rPr>
        <w:footnoteRef/>
      </w:r>
      <w:r w:rsidRPr="00951DDA">
        <w:rPr>
          <w:rFonts w:ascii="Arial" w:hAnsi="Arial" w:cs="Arial"/>
          <w:sz w:val="18"/>
          <w:szCs w:val="18"/>
        </w:rPr>
        <w:t xml:space="preserve"> CG-A-54/21</w:t>
      </w:r>
      <w:r w:rsidR="00EF7FD0" w:rsidRPr="00951DDA">
        <w:rPr>
          <w:rFonts w:ascii="Arial" w:hAnsi="Arial" w:cs="Arial"/>
          <w:sz w:val="18"/>
          <w:szCs w:val="18"/>
        </w:rPr>
        <w:t>.</w:t>
      </w:r>
    </w:p>
  </w:footnote>
  <w:footnote w:id="6">
    <w:p w14:paraId="407A3C41" w14:textId="77777777" w:rsidR="00861864" w:rsidRPr="00951DDA" w:rsidRDefault="00861864" w:rsidP="00951DDA">
      <w:pPr>
        <w:pStyle w:val="Textonotapie"/>
        <w:jc w:val="both"/>
        <w:rPr>
          <w:rFonts w:ascii="Arial" w:hAnsi="Arial" w:cs="Arial"/>
          <w:sz w:val="18"/>
          <w:szCs w:val="18"/>
        </w:rPr>
      </w:pPr>
      <w:r w:rsidRPr="00951DDA">
        <w:rPr>
          <w:rStyle w:val="Refdenotaalpie"/>
          <w:rFonts w:ascii="Arial" w:hAnsi="Arial" w:cs="Arial"/>
          <w:sz w:val="18"/>
          <w:szCs w:val="18"/>
        </w:rPr>
        <w:footnoteRef/>
      </w:r>
      <w:r w:rsidRPr="00951DDA">
        <w:rPr>
          <w:rFonts w:ascii="Arial" w:hAnsi="Arial" w:cs="Arial"/>
          <w:sz w:val="18"/>
          <w:szCs w:val="18"/>
        </w:rPr>
        <w:t xml:space="preserve"> Consultable en la página oficial de Internet del Tribunal Electoral del Poder Judicial de la Federación, http://sief.te.gob.mx/iuse/tesisjur.aspx?idtesis=11/97&amp;tpoBusqueda=S&amp;sWord=elegibilidad,de,candidatos. </w:t>
      </w:r>
    </w:p>
  </w:footnote>
  <w:footnote w:id="7">
    <w:p w14:paraId="6B1BA03C" w14:textId="77777777" w:rsidR="004224ED" w:rsidRPr="00951DDA" w:rsidRDefault="004224ED" w:rsidP="00951DDA">
      <w:pPr>
        <w:pStyle w:val="Textonotapie"/>
        <w:jc w:val="both"/>
        <w:rPr>
          <w:rFonts w:ascii="Arial" w:hAnsi="Arial" w:cs="Arial"/>
        </w:rPr>
      </w:pPr>
      <w:r w:rsidRPr="00951DDA">
        <w:rPr>
          <w:rStyle w:val="Refdenotaalpie"/>
          <w:rFonts w:ascii="Arial" w:hAnsi="Arial" w:cs="Arial"/>
          <w:sz w:val="18"/>
          <w:szCs w:val="18"/>
        </w:rPr>
        <w:footnoteRef/>
      </w:r>
      <w:r w:rsidRPr="00951DDA">
        <w:rPr>
          <w:rFonts w:ascii="Arial" w:hAnsi="Arial" w:cs="Arial"/>
          <w:sz w:val="18"/>
          <w:szCs w:val="18"/>
        </w:rPr>
        <w:t xml:space="preserve">  De acuerdo con lo establecido en el artículo 301 del Código Electoral del Estado de Aguascalientes.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B9D3" w14:textId="3948083B" w:rsidR="00816064" w:rsidRDefault="00816064">
    <w:pPr>
      <w:pStyle w:val="Encabezado"/>
    </w:pPr>
    <w:r>
      <w:rPr>
        <w:noProof/>
      </w:rPr>
      <w:pict w14:anchorId="72E0E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790313" o:spid="_x0000_s2050" type="#_x0000_t136" style="position:absolute;margin-left:0;margin-top:0;width:591.9pt;height:91.05pt;rotation:315;z-index:-251653120;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ACE8" w14:textId="5A2517AD" w:rsidR="00C41D29" w:rsidRDefault="00816064">
    <w:pPr>
      <w:spacing w:line="200" w:lineRule="auto"/>
    </w:pPr>
    <w:r>
      <w:rPr>
        <w:noProof/>
      </w:rPr>
      <w:pict w14:anchorId="20CFAC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790314" o:spid="_x0000_s2051" type="#_x0000_t136" style="position:absolute;margin-left:0;margin-top:0;width:591.9pt;height:91.05pt;rotation:315;z-index:-251651072;mso-position-horizontal:center;mso-position-horizontal-relative:margin;mso-position-vertical:center;mso-position-vertical-relative:margin" o:allowincell="f" fillcolor="silver" stroked="f">
          <v:fill opacity=".5"/>
          <v:textpath style="font-family:&quot;Times New Roman&quot;;font-size:1pt" string="Para consulta"/>
        </v:shape>
      </w:pict>
    </w:r>
    <w:r w:rsidR="00B04FFC">
      <w:rPr>
        <w:noProof/>
      </w:rPr>
      <w:drawing>
        <wp:anchor distT="0" distB="0" distL="0" distR="0" simplePos="0" relativeHeight="251659264" behindDoc="1" locked="0" layoutInCell="1" hidden="0" allowOverlap="1" wp14:anchorId="3F27B317" wp14:editId="746DB310">
          <wp:simplePos x="0" y="0"/>
          <wp:positionH relativeFrom="page">
            <wp:posOffset>708660</wp:posOffset>
          </wp:positionH>
          <wp:positionV relativeFrom="page">
            <wp:posOffset>376184</wp:posOffset>
          </wp:positionV>
          <wp:extent cx="1179830" cy="1404620"/>
          <wp:effectExtent l="0" t="0" r="1270" b="508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9830" cy="1404620"/>
                  </a:xfrm>
                  <a:prstGeom prst="rect">
                    <a:avLst/>
                  </a:prstGeom>
                  <a:ln/>
                </pic:spPr>
              </pic:pic>
            </a:graphicData>
          </a:graphic>
        </wp:anchor>
      </w:drawing>
    </w:r>
    <w:r w:rsidR="00C41D29">
      <w:rPr>
        <w:noProof/>
      </w:rPr>
      <mc:AlternateContent>
        <mc:Choice Requires="wps">
          <w:drawing>
            <wp:anchor distT="0" distB="0" distL="114300" distR="114300" simplePos="0" relativeHeight="251658240" behindDoc="0" locked="0" layoutInCell="0" hidden="0" allowOverlap="1" wp14:anchorId="56B99FFB" wp14:editId="639FE6A3">
              <wp:simplePos x="0" y="0"/>
              <wp:positionH relativeFrom="rightMargin">
                <wp:align>right</wp:align>
              </wp:positionH>
              <wp:positionV relativeFrom="margin">
                <wp:align>center</wp:align>
              </wp:positionV>
              <wp:extent cx="570230" cy="32956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329565"/>
                      </a:xfrm>
                      <a:prstGeom prst="rect">
                        <a:avLst/>
                      </a:prstGeom>
                      <a:solidFill>
                        <a:srgbClr val="FFFFFF"/>
                      </a:solidFill>
                      <a:ln>
                        <a:noFill/>
                      </a:ln>
                    </wps:spPr>
                    <wps:txbx>
                      <w:txbxContent>
                        <w:p w14:paraId="1409C67E" w14:textId="77777777" w:rsidR="00C41D29" w:rsidRDefault="00C41D29">
                          <w:pPr>
                            <w:pBdr>
                              <w:bottom w:val="single" w:sz="4" w:space="1" w:color="auto"/>
                            </w:pBdr>
                          </w:pPr>
                          <w:r>
                            <w:fldChar w:fldCharType="begin"/>
                          </w:r>
                          <w:r>
                            <w:instrText>PAGE   \* MERGEFORMAT</w:instrText>
                          </w:r>
                          <w:r>
                            <w:fldChar w:fldCharType="separate"/>
                          </w:r>
                          <w:r w:rsidRPr="0094005A">
                            <w:rPr>
                              <w:noProof/>
                              <w:lang w:val="es-ES"/>
                            </w:rPr>
                            <w:t>10</w:t>
                          </w:r>
                          <w:r>
                            <w:fldChar w:fldCharType="end"/>
                          </w:r>
                        </w:p>
                      </w:txbxContent>
                    </wps:txbx>
                    <wps:bodyPr rot="0" vert="horz" wrap="square" lIns="91440" tIns="45720" rIns="91440" bIns="45720" anchor="t" anchorCtr="0" upright="1">
                      <a:noAutofit/>
                    </wps:bodyPr>
                  </wps:wsp>
                </a:graphicData>
              </a:graphic>
            </wp:anchor>
          </w:drawing>
        </mc:Choice>
        <mc:Fallback>
          <w:pict>
            <v:rect w14:anchorId="56B99FFB" id="Rectángulo 1" o:spid="_x0000_s1026" style="position:absolute;margin-left:-6.3pt;margin-top:0;width:44.9pt;height:25.95pt;z-index:251658240;visibility:visible;mso-wrap-style:square;mso-wrap-distance-left:9pt;mso-wrap-distance-top:0;mso-wrap-distance-right:9pt;mso-wrap-distance-bottom:0;mso-position-horizontal:right;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" o:allowincell="f" stroked="f">
              <v:textbox>
                <w:txbxContent>
                  <w:p w14:paraId="1409C67E" w14:textId="77777777" w:rsidR="00C41D29" w:rsidRDefault="00C41D29">
                    <w:pPr>
                      <w:pBdr>
                        <w:bottom w:val="single" w:sz="4" w:space="1" w:color="auto"/>
                      </w:pBdr>
                    </w:pPr>
                    <w:r>
                      <w:fldChar w:fldCharType="begin"/>
                    </w:r>
                    <w:r>
                      <w:instrText>PAGE   \* MERGEFORMAT</w:instrText>
                    </w:r>
                    <w:r>
                      <w:fldChar w:fldCharType="separate"/>
                    </w:r>
                    <w:r w:rsidRPr="0094005A">
                      <w:rPr>
                        <w:noProof/>
                        <w:lang w:val="es-ES"/>
                      </w:rPr>
                      <w:t>10</w:t>
                    </w:r>
                    <w:r>
                      <w:fldChar w:fldCharType="end"/>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7063" w14:textId="71C57F18" w:rsidR="00816064" w:rsidRDefault="00816064">
    <w:pPr>
      <w:pStyle w:val="Encabezado"/>
    </w:pPr>
    <w:r>
      <w:rPr>
        <w:noProof/>
      </w:rPr>
      <w:pict w14:anchorId="08D86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790312" o:spid="_x0000_s2049" type="#_x0000_t136" style="position:absolute;margin-left:0;margin-top:0;width:591.9pt;height:91.05pt;rotation:315;z-index:-251655168;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3964"/>
    <w:multiLevelType w:val="multilevel"/>
    <w:tmpl w:val="01F20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AC6785"/>
    <w:multiLevelType w:val="multilevel"/>
    <w:tmpl w:val="72AE1DB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2F11DE"/>
    <w:multiLevelType w:val="multilevel"/>
    <w:tmpl w:val="56DE0E3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7C384C"/>
    <w:multiLevelType w:val="hybridMultilevel"/>
    <w:tmpl w:val="D88C15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E647EA"/>
    <w:multiLevelType w:val="hybridMultilevel"/>
    <w:tmpl w:val="95E4ED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071A1B"/>
    <w:multiLevelType w:val="multilevel"/>
    <w:tmpl w:val="42762FB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55C70B9"/>
    <w:multiLevelType w:val="hybridMultilevel"/>
    <w:tmpl w:val="FDBA71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10174F"/>
    <w:multiLevelType w:val="hybridMultilevel"/>
    <w:tmpl w:val="D29435BC"/>
    <w:lvl w:ilvl="0" w:tplc="080A000F">
      <w:start w:val="3"/>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6C2E42"/>
    <w:multiLevelType w:val="multilevel"/>
    <w:tmpl w:val="91D4F3D0"/>
    <w:lvl w:ilvl="0">
      <w:start w:val="6"/>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F82747"/>
    <w:multiLevelType w:val="hybridMultilevel"/>
    <w:tmpl w:val="1AF0E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60066F"/>
    <w:multiLevelType w:val="hybridMultilevel"/>
    <w:tmpl w:val="10E46A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2B1897"/>
    <w:multiLevelType w:val="hybridMultilevel"/>
    <w:tmpl w:val="C57488F2"/>
    <w:lvl w:ilvl="0" w:tplc="81A068E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994A39"/>
    <w:multiLevelType w:val="hybridMultilevel"/>
    <w:tmpl w:val="13668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3E3EB9"/>
    <w:multiLevelType w:val="multilevel"/>
    <w:tmpl w:val="FB7A10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3F7E25"/>
    <w:multiLevelType w:val="multilevel"/>
    <w:tmpl w:val="361C42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365D4B1F"/>
    <w:multiLevelType w:val="hybridMultilevel"/>
    <w:tmpl w:val="1340DD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00441D"/>
    <w:multiLevelType w:val="multilevel"/>
    <w:tmpl w:val="84986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5B28BC"/>
    <w:multiLevelType w:val="hybridMultilevel"/>
    <w:tmpl w:val="ACD057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6A76BE"/>
    <w:multiLevelType w:val="hybridMultilevel"/>
    <w:tmpl w:val="5C7A29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3F1D0120"/>
    <w:multiLevelType w:val="multilevel"/>
    <w:tmpl w:val="B9A2099C"/>
    <w:lvl w:ilvl="0">
      <w:start w:val="2"/>
      <w:numFmt w:val="decimal"/>
      <w:lvlText w:val="%1."/>
      <w:lvlJc w:val="left"/>
      <w:pPr>
        <w:ind w:left="720" w:hanging="360"/>
      </w:pPr>
      <w:rPr>
        <w:rFonts w:ascii="Arial" w:eastAsia="Times New Roman" w:hAnsi="Arial" w:cs="Arial" w:hint="default"/>
        <w:b/>
        <w:bCs w:val="0"/>
        <w:sz w:val="22"/>
        <w:szCs w:val="22"/>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0292FE9"/>
    <w:multiLevelType w:val="hybridMultilevel"/>
    <w:tmpl w:val="23B8D60A"/>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05770F"/>
    <w:multiLevelType w:val="multilevel"/>
    <w:tmpl w:val="AA7A8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662ED9"/>
    <w:multiLevelType w:val="hybridMultilevel"/>
    <w:tmpl w:val="D88C15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4A6A10"/>
    <w:multiLevelType w:val="hybridMultilevel"/>
    <w:tmpl w:val="9B4C4B4C"/>
    <w:lvl w:ilvl="0" w:tplc="1C9294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38679EC"/>
    <w:multiLevelType w:val="hybridMultilevel"/>
    <w:tmpl w:val="068C7F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E1506C"/>
    <w:multiLevelType w:val="hybridMultilevel"/>
    <w:tmpl w:val="B520108C"/>
    <w:lvl w:ilvl="0" w:tplc="7AB632D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D3A4B43"/>
    <w:multiLevelType w:val="hybridMultilevel"/>
    <w:tmpl w:val="D0A2578C"/>
    <w:lvl w:ilvl="0" w:tplc="294CC858">
      <w:start w:val="1"/>
      <w:numFmt w:val="low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D83DE9"/>
    <w:multiLevelType w:val="hybridMultilevel"/>
    <w:tmpl w:val="ED264B08"/>
    <w:lvl w:ilvl="0" w:tplc="78188B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E1008F"/>
    <w:multiLevelType w:val="hybridMultilevel"/>
    <w:tmpl w:val="352057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9444BA"/>
    <w:multiLevelType w:val="hybridMultilevel"/>
    <w:tmpl w:val="7DBC2A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C46F16"/>
    <w:multiLevelType w:val="hybridMultilevel"/>
    <w:tmpl w:val="DD7453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5B7DE1"/>
    <w:multiLevelType w:val="hybridMultilevel"/>
    <w:tmpl w:val="216EF4F2"/>
    <w:lvl w:ilvl="0" w:tplc="D39A55F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2F137E"/>
    <w:multiLevelType w:val="hybridMultilevel"/>
    <w:tmpl w:val="1ABA90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3E5550"/>
    <w:multiLevelType w:val="multilevel"/>
    <w:tmpl w:val="3D4615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2753F2D"/>
    <w:multiLevelType w:val="multilevel"/>
    <w:tmpl w:val="E99E0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2C835D7"/>
    <w:multiLevelType w:val="hybridMultilevel"/>
    <w:tmpl w:val="A796AC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6A72CF"/>
    <w:multiLevelType w:val="hybridMultilevel"/>
    <w:tmpl w:val="B07AD3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A34DEF"/>
    <w:multiLevelType w:val="hybridMultilevel"/>
    <w:tmpl w:val="33C0B2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3B5A5D"/>
    <w:multiLevelType w:val="hybridMultilevel"/>
    <w:tmpl w:val="6BFCF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
  </w:num>
  <w:num w:numId="4">
    <w:abstractNumId w:val="35"/>
  </w:num>
  <w:num w:numId="5">
    <w:abstractNumId w:val="34"/>
  </w:num>
  <w:num w:numId="6">
    <w:abstractNumId w:val="1"/>
  </w:num>
  <w:num w:numId="7">
    <w:abstractNumId w:val="13"/>
  </w:num>
  <w:num w:numId="8">
    <w:abstractNumId w:val="14"/>
  </w:num>
  <w:num w:numId="9">
    <w:abstractNumId w:val="16"/>
  </w:num>
  <w:num w:numId="10">
    <w:abstractNumId w:val="0"/>
  </w:num>
  <w:num w:numId="11">
    <w:abstractNumId w:val="17"/>
  </w:num>
  <w:num w:numId="12">
    <w:abstractNumId w:val="20"/>
  </w:num>
  <w:num w:numId="13">
    <w:abstractNumId w:val="31"/>
  </w:num>
  <w:num w:numId="14">
    <w:abstractNumId w:val="24"/>
  </w:num>
  <w:num w:numId="15">
    <w:abstractNumId w:val="33"/>
  </w:num>
  <w:num w:numId="16">
    <w:abstractNumId w:val="39"/>
  </w:num>
  <w:num w:numId="17">
    <w:abstractNumId w:val="37"/>
  </w:num>
  <w:num w:numId="18">
    <w:abstractNumId w:val="25"/>
  </w:num>
  <w:num w:numId="19">
    <w:abstractNumId w:val="9"/>
  </w:num>
  <w:num w:numId="20">
    <w:abstractNumId w:val="15"/>
  </w:num>
  <w:num w:numId="21">
    <w:abstractNumId w:val="18"/>
  </w:num>
  <w:num w:numId="22">
    <w:abstractNumId w:val="4"/>
  </w:num>
  <w:num w:numId="23">
    <w:abstractNumId w:val="6"/>
  </w:num>
  <w:num w:numId="24">
    <w:abstractNumId w:val="3"/>
  </w:num>
  <w:num w:numId="25">
    <w:abstractNumId w:val="23"/>
  </w:num>
  <w:num w:numId="26">
    <w:abstractNumId w:val="32"/>
  </w:num>
  <w:num w:numId="27">
    <w:abstractNumId w:val="36"/>
  </w:num>
  <w:num w:numId="28">
    <w:abstractNumId w:val="30"/>
  </w:num>
  <w:num w:numId="29">
    <w:abstractNumId w:val="38"/>
  </w:num>
  <w:num w:numId="30">
    <w:abstractNumId w:val="19"/>
  </w:num>
  <w:num w:numId="31">
    <w:abstractNumId w:val="27"/>
  </w:num>
  <w:num w:numId="32">
    <w:abstractNumId w:val="11"/>
  </w:num>
  <w:num w:numId="33">
    <w:abstractNumId w:val="26"/>
  </w:num>
  <w:num w:numId="34">
    <w:abstractNumId w:val="12"/>
  </w:num>
  <w:num w:numId="35">
    <w:abstractNumId w:val="21"/>
  </w:num>
  <w:num w:numId="36">
    <w:abstractNumId w:val="10"/>
  </w:num>
  <w:num w:numId="37">
    <w:abstractNumId w:val="29"/>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4C"/>
    <w:rsid w:val="000029A9"/>
    <w:rsid w:val="00003366"/>
    <w:rsid w:val="00014A71"/>
    <w:rsid w:val="00015525"/>
    <w:rsid w:val="00025F0E"/>
    <w:rsid w:val="000332A5"/>
    <w:rsid w:val="0006033E"/>
    <w:rsid w:val="000663F1"/>
    <w:rsid w:val="0007242A"/>
    <w:rsid w:val="0008061B"/>
    <w:rsid w:val="00080D4C"/>
    <w:rsid w:val="00083F5A"/>
    <w:rsid w:val="0008724B"/>
    <w:rsid w:val="00087B52"/>
    <w:rsid w:val="0009047C"/>
    <w:rsid w:val="00093678"/>
    <w:rsid w:val="0009426E"/>
    <w:rsid w:val="000A3E8E"/>
    <w:rsid w:val="000A473C"/>
    <w:rsid w:val="000A6854"/>
    <w:rsid w:val="000B06C1"/>
    <w:rsid w:val="000C081A"/>
    <w:rsid w:val="000C747F"/>
    <w:rsid w:val="000D48D5"/>
    <w:rsid w:val="000D6B5E"/>
    <w:rsid w:val="000D79B8"/>
    <w:rsid w:val="000E4164"/>
    <w:rsid w:val="000E7CD8"/>
    <w:rsid w:val="00114AE3"/>
    <w:rsid w:val="0012704D"/>
    <w:rsid w:val="0012746D"/>
    <w:rsid w:val="00127E6C"/>
    <w:rsid w:val="00133C36"/>
    <w:rsid w:val="001359F6"/>
    <w:rsid w:val="00137090"/>
    <w:rsid w:val="00143649"/>
    <w:rsid w:val="00145177"/>
    <w:rsid w:val="0015578F"/>
    <w:rsid w:val="00171273"/>
    <w:rsid w:val="001713D2"/>
    <w:rsid w:val="00173672"/>
    <w:rsid w:val="001908FB"/>
    <w:rsid w:val="001958BF"/>
    <w:rsid w:val="001A1C7D"/>
    <w:rsid w:val="001C113D"/>
    <w:rsid w:val="001C4ECF"/>
    <w:rsid w:val="001D0F11"/>
    <w:rsid w:val="001D4F84"/>
    <w:rsid w:val="001D5860"/>
    <w:rsid w:val="001D64B7"/>
    <w:rsid w:val="001D6893"/>
    <w:rsid w:val="001D786E"/>
    <w:rsid w:val="001E2151"/>
    <w:rsid w:val="001F3A78"/>
    <w:rsid w:val="001F7A19"/>
    <w:rsid w:val="00205B96"/>
    <w:rsid w:val="002139AB"/>
    <w:rsid w:val="00220C56"/>
    <w:rsid w:val="002269E2"/>
    <w:rsid w:val="00232B36"/>
    <w:rsid w:val="002347D6"/>
    <w:rsid w:val="002416C7"/>
    <w:rsid w:val="00245439"/>
    <w:rsid w:val="00275265"/>
    <w:rsid w:val="00276A0E"/>
    <w:rsid w:val="00280863"/>
    <w:rsid w:val="0028404C"/>
    <w:rsid w:val="00284A88"/>
    <w:rsid w:val="00297DA6"/>
    <w:rsid w:val="002A0FD2"/>
    <w:rsid w:val="002A4915"/>
    <w:rsid w:val="002A6622"/>
    <w:rsid w:val="002A7C50"/>
    <w:rsid w:val="002B2985"/>
    <w:rsid w:val="002C5C03"/>
    <w:rsid w:val="002D4974"/>
    <w:rsid w:val="002F0269"/>
    <w:rsid w:val="002F1D77"/>
    <w:rsid w:val="0030237A"/>
    <w:rsid w:val="00317740"/>
    <w:rsid w:val="00324769"/>
    <w:rsid w:val="00327E60"/>
    <w:rsid w:val="00336BA4"/>
    <w:rsid w:val="00342D19"/>
    <w:rsid w:val="00346AD5"/>
    <w:rsid w:val="00351BD0"/>
    <w:rsid w:val="0035644E"/>
    <w:rsid w:val="00360D40"/>
    <w:rsid w:val="00373FBC"/>
    <w:rsid w:val="003A413E"/>
    <w:rsid w:val="003B0BB1"/>
    <w:rsid w:val="003C1898"/>
    <w:rsid w:val="003C4CD7"/>
    <w:rsid w:val="003C6D86"/>
    <w:rsid w:val="003D555B"/>
    <w:rsid w:val="003E37FB"/>
    <w:rsid w:val="003F4B02"/>
    <w:rsid w:val="00401BDF"/>
    <w:rsid w:val="00402ED0"/>
    <w:rsid w:val="004049E4"/>
    <w:rsid w:val="00406547"/>
    <w:rsid w:val="00407D10"/>
    <w:rsid w:val="0041576C"/>
    <w:rsid w:val="00417B60"/>
    <w:rsid w:val="004224ED"/>
    <w:rsid w:val="004300DC"/>
    <w:rsid w:val="00445ACA"/>
    <w:rsid w:val="00451200"/>
    <w:rsid w:val="0045627F"/>
    <w:rsid w:val="004602C3"/>
    <w:rsid w:val="00460F68"/>
    <w:rsid w:val="004617EC"/>
    <w:rsid w:val="00472CC0"/>
    <w:rsid w:val="0047614D"/>
    <w:rsid w:val="00477384"/>
    <w:rsid w:val="004B45AF"/>
    <w:rsid w:val="004C11E8"/>
    <w:rsid w:val="004D49E1"/>
    <w:rsid w:val="004D5736"/>
    <w:rsid w:val="004E20E0"/>
    <w:rsid w:val="004F0C1F"/>
    <w:rsid w:val="004F32F5"/>
    <w:rsid w:val="004F7D39"/>
    <w:rsid w:val="00500601"/>
    <w:rsid w:val="00507F0B"/>
    <w:rsid w:val="00511A3B"/>
    <w:rsid w:val="005258E4"/>
    <w:rsid w:val="00532E73"/>
    <w:rsid w:val="0053309F"/>
    <w:rsid w:val="005407CC"/>
    <w:rsid w:val="0054445B"/>
    <w:rsid w:val="00545578"/>
    <w:rsid w:val="00551A74"/>
    <w:rsid w:val="005531AD"/>
    <w:rsid w:val="00553FAA"/>
    <w:rsid w:val="00555EA2"/>
    <w:rsid w:val="0055632F"/>
    <w:rsid w:val="0056140B"/>
    <w:rsid w:val="00562233"/>
    <w:rsid w:val="00564C28"/>
    <w:rsid w:val="005659A1"/>
    <w:rsid w:val="005678B2"/>
    <w:rsid w:val="00567D80"/>
    <w:rsid w:val="005706D4"/>
    <w:rsid w:val="00574AED"/>
    <w:rsid w:val="005751F9"/>
    <w:rsid w:val="00584C6E"/>
    <w:rsid w:val="005858E0"/>
    <w:rsid w:val="005A02C6"/>
    <w:rsid w:val="005A4AA5"/>
    <w:rsid w:val="005B1057"/>
    <w:rsid w:val="005B2DAF"/>
    <w:rsid w:val="005C7209"/>
    <w:rsid w:val="005D05ED"/>
    <w:rsid w:val="005D6414"/>
    <w:rsid w:val="005F724C"/>
    <w:rsid w:val="006028CB"/>
    <w:rsid w:val="006321A3"/>
    <w:rsid w:val="0063254A"/>
    <w:rsid w:val="006328CD"/>
    <w:rsid w:val="0064067A"/>
    <w:rsid w:val="00644D39"/>
    <w:rsid w:val="00655729"/>
    <w:rsid w:val="00664DAB"/>
    <w:rsid w:val="00671794"/>
    <w:rsid w:val="00672CF2"/>
    <w:rsid w:val="00686019"/>
    <w:rsid w:val="006C7606"/>
    <w:rsid w:val="006C7D58"/>
    <w:rsid w:val="006D33FA"/>
    <w:rsid w:val="006D58AC"/>
    <w:rsid w:val="006E23A2"/>
    <w:rsid w:val="006F1A08"/>
    <w:rsid w:val="00712817"/>
    <w:rsid w:val="00715623"/>
    <w:rsid w:val="00721C1C"/>
    <w:rsid w:val="00724889"/>
    <w:rsid w:val="00731ACE"/>
    <w:rsid w:val="00732E61"/>
    <w:rsid w:val="00743998"/>
    <w:rsid w:val="00744D16"/>
    <w:rsid w:val="00767D6C"/>
    <w:rsid w:val="00770EB6"/>
    <w:rsid w:val="0077621B"/>
    <w:rsid w:val="00777892"/>
    <w:rsid w:val="0078667C"/>
    <w:rsid w:val="0079285A"/>
    <w:rsid w:val="007A5A77"/>
    <w:rsid w:val="007A5DC3"/>
    <w:rsid w:val="007A6A0F"/>
    <w:rsid w:val="007B4037"/>
    <w:rsid w:val="007B485E"/>
    <w:rsid w:val="007D0AB8"/>
    <w:rsid w:val="007D2E82"/>
    <w:rsid w:val="007D4247"/>
    <w:rsid w:val="007E10A7"/>
    <w:rsid w:val="007F1426"/>
    <w:rsid w:val="007F1D32"/>
    <w:rsid w:val="008029CB"/>
    <w:rsid w:val="00816064"/>
    <w:rsid w:val="008245A3"/>
    <w:rsid w:val="00832FFA"/>
    <w:rsid w:val="008366A6"/>
    <w:rsid w:val="00841D6E"/>
    <w:rsid w:val="00844B0F"/>
    <w:rsid w:val="008473AB"/>
    <w:rsid w:val="0086106D"/>
    <w:rsid w:val="00861864"/>
    <w:rsid w:val="00880817"/>
    <w:rsid w:val="00883463"/>
    <w:rsid w:val="00884CB6"/>
    <w:rsid w:val="008878C6"/>
    <w:rsid w:val="00892DCF"/>
    <w:rsid w:val="008A6288"/>
    <w:rsid w:val="008A7D67"/>
    <w:rsid w:val="008B15B7"/>
    <w:rsid w:val="008B1F1D"/>
    <w:rsid w:val="008C059E"/>
    <w:rsid w:val="008C2F80"/>
    <w:rsid w:val="008C3DAA"/>
    <w:rsid w:val="008D61DD"/>
    <w:rsid w:val="0090164A"/>
    <w:rsid w:val="0090274D"/>
    <w:rsid w:val="0091635C"/>
    <w:rsid w:val="00920C4B"/>
    <w:rsid w:val="009230C7"/>
    <w:rsid w:val="00931EEF"/>
    <w:rsid w:val="00934F16"/>
    <w:rsid w:val="00937CCB"/>
    <w:rsid w:val="00947AFE"/>
    <w:rsid w:val="00951DDA"/>
    <w:rsid w:val="009531B6"/>
    <w:rsid w:val="00964257"/>
    <w:rsid w:val="00967B20"/>
    <w:rsid w:val="009803D9"/>
    <w:rsid w:val="0098481F"/>
    <w:rsid w:val="009870E4"/>
    <w:rsid w:val="00990566"/>
    <w:rsid w:val="0099349F"/>
    <w:rsid w:val="00997A7D"/>
    <w:rsid w:val="00997D95"/>
    <w:rsid w:val="009C1AFD"/>
    <w:rsid w:val="009C4FFC"/>
    <w:rsid w:val="009D3857"/>
    <w:rsid w:val="009D772C"/>
    <w:rsid w:val="009E0BF2"/>
    <w:rsid w:val="009F1C33"/>
    <w:rsid w:val="00A01A33"/>
    <w:rsid w:val="00A03D78"/>
    <w:rsid w:val="00A175CA"/>
    <w:rsid w:val="00A211D9"/>
    <w:rsid w:val="00A354A5"/>
    <w:rsid w:val="00A369A0"/>
    <w:rsid w:val="00A46BB5"/>
    <w:rsid w:val="00A5205E"/>
    <w:rsid w:val="00A536F4"/>
    <w:rsid w:val="00A54A03"/>
    <w:rsid w:val="00A57B11"/>
    <w:rsid w:val="00A633FA"/>
    <w:rsid w:val="00A63AD5"/>
    <w:rsid w:val="00A6413F"/>
    <w:rsid w:val="00A70F7F"/>
    <w:rsid w:val="00A72448"/>
    <w:rsid w:val="00A779DA"/>
    <w:rsid w:val="00A917E1"/>
    <w:rsid w:val="00A94F66"/>
    <w:rsid w:val="00AA262D"/>
    <w:rsid w:val="00AA3CAD"/>
    <w:rsid w:val="00AA5B76"/>
    <w:rsid w:val="00AB3AD9"/>
    <w:rsid w:val="00AC4C50"/>
    <w:rsid w:val="00AC66C6"/>
    <w:rsid w:val="00AD6403"/>
    <w:rsid w:val="00AE6DB4"/>
    <w:rsid w:val="00AF3329"/>
    <w:rsid w:val="00AF377E"/>
    <w:rsid w:val="00AF6005"/>
    <w:rsid w:val="00B04FFC"/>
    <w:rsid w:val="00B200C6"/>
    <w:rsid w:val="00B24023"/>
    <w:rsid w:val="00B2648D"/>
    <w:rsid w:val="00B55FE0"/>
    <w:rsid w:val="00B567C6"/>
    <w:rsid w:val="00B609ED"/>
    <w:rsid w:val="00B65130"/>
    <w:rsid w:val="00B75984"/>
    <w:rsid w:val="00BA6CFE"/>
    <w:rsid w:val="00BA6F6C"/>
    <w:rsid w:val="00BD40A0"/>
    <w:rsid w:val="00BD5DC3"/>
    <w:rsid w:val="00BE1A78"/>
    <w:rsid w:val="00BE2558"/>
    <w:rsid w:val="00BE64E6"/>
    <w:rsid w:val="00BF14A4"/>
    <w:rsid w:val="00C0611D"/>
    <w:rsid w:val="00C37BFB"/>
    <w:rsid w:val="00C41CE8"/>
    <w:rsid w:val="00C41D29"/>
    <w:rsid w:val="00C425A0"/>
    <w:rsid w:val="00C42997"/>
    <w:rsid w:val="00C42DB1"/>
    <w:rsid w:val="00C438DA"/>
    <w:rsid w:val="00C54E71"/>
    <w:rsid w:val="00C57F34"/>
    <w:rsid w:val="00C63BE8"/>
    <w:rsid w:val="00C6452B"/>
    <w:rsid w:val="00C66379"/>
    <w:rsid w:val="00C67CAD"/>
    <w:rsid w:val="00C84DC0"/>
    <w:rsid w:val="00C93D8E"/>
    <w:rsid w:val="00CA009C"/>
    <w:rsid w:val="00CA276C"/>
    <w:rsid w:val="00CB0340"/>
    <w:rsid w:val="00CB2C21"/>
    <w:rsid w:val="00CC2C3C"/>
    <w:rsid w:val="00CC4A35"/>
    <w:rsid w:val="00CC4DE8"/>
    <w:rsid w:val="00CD7C0D"/>
    <w:rsid w:val="00CE2D66"/>
    <w:rsid w:val="00D14302"/>
    <w:rsid w:val="00D17295"/>
    <w:rsid w:val="00D338DE"/>
    <w:rsid w:val="00D35FA1"/>
    <w:rsid w:val="00D53656"/>
    <w:rsid w:val="00D57CD0"/>
    <w:rsid w:val="00D7107E"/>
    <w:rsid w:val="00D802DB"/>
    <w:rsid w:val="00D84874"/>
    <w:rsid w:val="00D9130D"/>
    <w:rsid w:val="00D92101"/>
    <w:rsid w:val="00D94DD6"/>
    <w:rsid w:val="00DA0291"/>
    <w:rsid w:val="00DA3F65"/>
    <w:rsid w:val="00DB0517"/>
    <w:rsid w:val="00DB1D31"/>
    <w:rsid w:val="00DD1F73"/>
    <w:rsid w:val="00DE2D5D"/>
    <w:rsid w:val="00DF3CE7"/>
    <w:rsid w:val="00DF5DC8"/>
    <w:rsid w:val="00DF7B7D"/>
    <w:rsid w:val="00E121A0"/>
    <w:rsid w:val="00E2635F"/>
    <w:rsid w:val="00E27AA5"/>
    <w:rsid w:val="00E577E8"/>
    <w:rsid w:val="00E57CBC"/>
    <w:rsid w:val="00E6075C"/>
    <w:rsid w:val="00E6283A"/>
    <w:rsid w:val="00E65D99"/>
    <w:rsid w:val="00E75714"/>
    <w:rsid w:val="00E76141"/>
    <w:rsid w:val="00E7667A"/>
    <w:rsid w:val="00E9157A"/>
    <w:rsid w:val="00E921C7"/>
    <w:rsid w:val="00E95E50"/>
    <w:rsid w:val="00EA363B"/>
    <w:rsid w:val="00EA44A4"/>
    <w:rsid w:val="00EB0FB6"/>
    <w:rsid w:val="00ED63B3"/>
    <w:rsid w:val="00EE21B0"/>
    <w:rsid w:val="00EE39F0"/>
    <w:rsid w:val="00EF4319"/>
    <w:rsid w:val="00EF7FD0"/>
    <w:rsid w:val="00F053CE"/>
    <w:rsid w:val="00F11C5F"/>
    <w:rsid w:val="00F14D24"/>
    <w:rsid w:val="00F14DD8"/>
    <w:rsid w:val="00F15492"/>
    <w:rsid w:val="00F264BC"/>
    <w:rsid w:val="00F308A1"/>
    <w:rsid w:val="00F3182A"/>
    <w:rsid w:val="00F34FE4"/>
    <w:rsid w:val="00F37563"/>
    <w:rsid w:val="00F746F3"/>
    <w:rsid w:val="00F80AE6"/>
    <w:rsid w:val="00F86465"/>
    <w:rsid w:val="00F9013D"/>
    <w:rsid w:val="00FA6BDC"/>
    <w:rsid w:val="00FB310B"/>
    <w:rsid w:val="00FB47E6"/>
    <w:rsid w:val="00FB49EB"/>
    <w:rsid w:val="00FD0B44"/>
    <w:rsid w:val="00FD4671"/>
    <w:rsid w:val="00FE2EB5"/>
    <w:rsid w:val="00FF0301"/>
    <w:rsid w:val="00FF0D7B"/>
    <w:rsid w:val="00FF54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99B537"/>
  <w15:docId w15:val="{C8B11F65-8F81-429E-80B0-EB4786EE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8CB"/>
  </w:style>
  <w:style w:type="paragraph" w:styleId="Ttulo1">
    <w:name w:val="heading 1"/>
    <w:basedOn w:val="Normal"/>
    <w:next w:val="Normal"/>
    <w:link w:val="Ttulo1Car"/>
    <w:uiPriority w:val="9"/>
    <w:qFormat/>
    <w:pPr>
      <w:keepNext/>
      <w:keepLines/>
      <w:spacing w:before="240"/>
      <w:outlineLvl w:val="0"/>
    </w:pPr>
    <w:rPr>
      <w:rFonts w:ascii="Calibri" w:eastAsia="Calibri" w:hAnsi="Calibri" w:cs="Calibri"/>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B200C6"/>
    <w:rPr>
      <w:color w:val="0000FF" w:themeColor="hyperlink"/>
      <w:u w:val="single"/>
    </w:rPr>
  </w:style>
  <w:style w:type="paragraph" w:styleId="Sinespaciado">
    <w:name w:val="No Spacing"/>
    <w:link w:val="SinespaciadoCar"/>
    <w:uiPriority w:val="1"/>
    <w:qFormat/>
    <w:rsid w:val="00B200C6"/>
    <w:rPr>
      <w:lang w:eastAsia="en-US"/>
    </w:rPr>
  </w:style>
  <w:style w:type="paragraph" w:styleId="TtuloTDC">
    <w:name w:val="TOC Heading"/>
    <w:basedOn w:val="Ttulo1"/>
    <w:next w:val="Normal"/>
    <w:uiPriority w:val="39"/>
    <w:unhideWhenUsed/>
    <w:qFormat/>
    <w:rsid w:val="00B200C6"/>
    <w:pPr>
      <w:spacing w:line="259" w:lineRule="auto"/>
      <w:outlineLvl w:val="9"/>
    </w:pPr>
    <w:rPr>
      <w:rFonts w:asciiTheme="majorHAnsi" w:eastAsiaTheme="majorEastAsia" w:hAnsiTheme="majorHAnsi" w:cstheme="majorBidi"/>
      <w:color w:val="365F91" w:themeColor="accent1" w:themeShade="BF"/>
    </w:rPr>
  </w:style>
  <w:style w:type="paragraph" w:styleId="TDC1">
    <w:name w:val="toc 1"/>
    <w:basedOn w:val="Normal"/>
    <w:next w:val="Normal"/>
    <w:autoRedefine/>
    <w:uiPriority w:val="39"/>
    <w:unhideWhenUsed/>
    <w:rsid w:val="00B200C6"/>
    <w:pPr>
      <w:tabs>
        <w:tab w:val="left" w:pos="440"/>
        <w:tab w:val="right" w:leader="dot" w:pos="8546"/>
      </w:tabs>
      <w:spacing w:line="276" w:lineRule="auto"/>
    </w:pPr>
    <w:rPr>
      <w:rFonts w:ascii="Arial" w:hAnsi="Arial" w:cs="Arial"/>
      <w:b/>
      <w:bCs/>
      <w:noProof/>
      <w:sz w:val="18"/>
      <w:szCs w:val="18"/>
      <w:lang w:eastAsia="es-ES"/>
    </w:rPr>
  </w:style>
  <w:style w:type="paragraph" w:styleId="TDC2">
    <w:name w:val="toc 2"/>
    <w:basedOn w:val="Normal"/>
    <w:next w:val="Normal"/>
    <w:autoRedefine/>
    <w:uiPriority w:val="39"/>
    <w:unhideWhenUsed/>
    <w:rsid w:val="00B200C6"/>
    <w:pPr>
      <w:tabs>
        <w:tab w:val="right" w:leader="dot" w:pos="8546"/>
      </w:tabs>
      <w:ind w:left="993" w:right="899" w:hanging="142"/>
      <w:contextualSpacing/>
      <w:jc w:val="both"/>
    </w:pPr>
    <w:rPr>
      <w:rFonts w:ascii="Arial" w:eastAsia="Calibri" w:hAnsi="Arial" w:cs="Arial"/>
      <w:b/>
      <w:bCs/>
      <w:noProof/>
      <w:sz w:val="18"/>
      <w:szCs w:val="18"/>
      <w:lang w:val="es-ES_tradnl" w:eastAsia="en-US"/>
    </w:rPr>
  </w:style>
  <w:style w:type="character" w:customStyle="1" w:styleId="SinespaciadoCar">
    <w:name w:val="Sin espaciado Car"/>
    <w:link w:val="Sinespaciado"/>
    <w:uiPriority w:val="1"/>
    <w:rsid w:val="00B200C6"/>
    <w:rPr>
      <w:lang w:eastAsia="en-US"/>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B200C6"/>
    <w:rPr>
      <w:rFonts w:asciiTheme="minorHAnsi" w:eastAsiaTheme="minorEastAsia" w:hAnsiTheme="minorHAnsi" w:cstheme="minorBidi"/>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B200C6"/>
    <w:rPr>
      <w:rFonts w:asciiTheme="minorHAnsi" w:eastAsiaTheme="minorEastAsia" w:hAnsiTheme="minorHAnsi" w:cstheme="minorBidi"/>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B200C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200C6"/>
    <w:pPr>
      <w:jc w:val="both"/>
    </w:pPr>
    <w:rPr>
      <w:vertAlign w:val="superscript"/>
    </w:rPr>
  </w:style>
  <w:style w:type="paragraph" w:styleId="Prrafodelista">
    <w:name w:val="List Paragraph"/>
    <w:aliases w:val="CNBV Parrafo1,Cita texto,Párrafo de lista1,Parrafo 1,Lista multicolor - Énfasis 11,Lista vistosa - Énfasis 11,Cuadrícula media 1 - Énfasis 21,Listas,List Paragraph-Thesis,Footnote,List Paragraph2,List Paragraph1,Colorful List - Accent 1"/>
    <w:basedOn w:val="Normal"/>
    <w:link w:val="PrrafodelistaCar"/>
    <w:uiPriority w:val="34"/>
    <w:qFormat/>
    <w:rsid w:val="006F1A08"/>
    <w:pPr>
      <w:ind w:left="720"/>
      <w:contextualSpacing/>
    </w:pPr>
  </w:style>
  <w:style w:type="table" w:styleId="Tablaconcuadrcula">
    <w:name w:val="Table Grid"/>
    <w:basedOn w:val="Tablanormal"/>
    <w:uiPriority w:val="39"/>
    <w:rsid w:val="00993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14302"/>
    <w:rPr>
      <w:rFonts w:ascii="Calibri" w:eastAsia="Calibri" w:hAnsi="Calibri" w:cs="Calibri"/>
      <w:color w:val="2F5496"/>
      <w:sz w:val="32"/>
      <w:szCs w:val="32"/>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8D61DD"/>
    <w:pPr>
      <w:spacing w:before="100" w:beforeAutospacing="1" w:after="100" w:afterAutospacing="1"/>
    </w:pPr>
    <w:rPr>
      <w:sz w:val="24"/>
      <w:szCs w:val="24"/>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8D61DD"/>
    <w:rPr>
      <w:sz w:val="24"/>
      <w:szCs w:val="24"/>
    </w:rPr>
  </w:style>
  <w:style w:type="paragraph" w:customStyle="1" w:styleId="text-justify">
    <w:name w:val="text-justify"/>
    <w:basedOn w:val="Normal"/>
    <w:uiPriority w:val="99"/>
    <w:qFormat/>
    <w:rsid w:val="00DF7B7D"/>
    <w:pPr>
      <w:spacing w:before="100" w:beforeAutospacing="1" w:after="100" w:afterAutospacing="1"/>
    </w:pPr>
    <w:rPr>
      <w:sz w:val="24"/>
      <w:szCs w:val="24"/>
    </w:rPr>
  </w:style>
  <w:style w:type="character" w:styleId="nfasis">
    <w:name w:val="Emphasis"/>
    <w:uiPriority w:val="20"/>
    <w:qFormat/>
    <w:rsid w:val="004E20E0"/>
    <w:rPr>
      <w:i/>
      <w:iCs/>
    </w:rPr>
  </w:style>
  <w:style w:type="character" w:customStyle="1" w:styleId="PrrafodelistaCar">
    <w:name w:val="Párrafo de lista Car"/>
    <w:aliases w:val="CNBV Parrafo1 Car,Cita texto Car,Párrafo de lista1 Car,Parrafo 1 Car,Lista multicolor - Énfasis 11 Car,Lista vistosa - Énfasis 11 Car,Cuadrícula media 1 - Énfasis 21 Car,Listas Car,List Paragraph-Thesis Car,Footnote Car"/>
    <w:link w:val="Prrafodelista"/>
    <w:uiPriority w:val="34"/>
    <w:qFormat/>
    <w:locked/>
    <w:rsid w:val="004E20E0"/>
  </w:style>
  <w:style w:type="character" w:styleId="Mencinsinresolver">
    <w:name w:val="Unresolved Mention"/>
    <w:basedOn w:val="Fuentedeprrafopredeter"/>
    <w:uiPriority w:val="99"/>
    <w:semiHidden/>
    <w:unhideWhenUsed/>
    <w:rsid w:val="00A54A03"/>
    <w:rPr>
      <w:color w:val="605E5C"/>
      <w:shd w:val="clear" w:color="auto" w:fill="E1DFDD"/>
    </w:rPr>
  </w:style>
  <w:style w:type="paragraph" w:styleId="Encabezado">
    <w:name w:val="header"/>
    <w:basedOn w:val="Normal"/>
    <w:link w:val="EncabezadoCar"/>
    <w:uiPriority w:val="99"/>
    <w:unhideWhenUsed/>
    <w:rsid w:val="00B04FFC"/>
    <w:pPr>
      <w:tabs>
        <w:tab w:val="center" w:pos="4419"/>
        <w:tab w:val="right" w:pos="8838"/>
      </w:tabs>
    </w:pPr>
  </w:style>
  <w:style w:type="character" w:customStyle="1" w:styleId="EncabezadoCar">
    <w:name w:val="Encabezado Car"/>
    <w:basedOn w:val="Fuentedeprrafopredeter"/>
    <w:link w:val="Encabezado"/>
    <w:uiPriority w:val="99"/>
    <w:rsid w:val="00B04FFC"/>
  </w:style>
  <w:style w:type="paragraph" w:styleId="Piedepgina">
    <w:name w:val="footer"/>
    <w:basedOn w:val="Normal"/>
    <w:link w:val="PiedepginaCar"/>
    <w:uiPriority w:val="99"/>
    <w:unhideWhenUsed/>
    <w:rsid w:val="00B04FFC"/>
    <w:pPr>
      <w:tabs>
        <w:tab w:val="center" w:pos="4419"/>
        <w:tab w:val="right" w:pos="8838"/>
      </w:tabs>
    </w:pPr>
  </w:style>
  <w:style w:type="character" w:customStyle="1" w:styleId="PiedepginaCar">
    <w:name w:val="Pie de página Car"/>
    <w:basedOn w:val="Fuentedeprrafopredeter"/>
    <w:link w:val="Piedepgina"/>
    <w:uiPriority w:val="99"/>
    <w:rsid w:val="00B04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71124">
      <w:bodyDiv w:val="1"/>
      <w:marLeft w:val="0"/>
      <w:marRight w:val="0"/>
      <w:marTop w:val="0"/>
      <w:marBottom w:val="0"/>
      <w:divBdr>
        <w:top w:val="none" w:sz="0" w:space="0" w:color="auto"/>
        <w:left w:val="none" w:sz="0" w:space="0" w:color="auto"/>
        <w:bottom w:val="none" w:sz="0" w:space="0" w:color="auto"/>
        <w:right w:val="none" w:sz="0" w:space="0" w:color="auto"/>
      </w:divBdr>
    </w:div>
    <w:div w:id="364528302">
      <w:bodyDiv w:val="1"/>
      <w:marLeft w:val="0"/>
      <w:marRight w:val="0"/>
      <w:marTop w:val="0"/>
      <w:marBottom w:val="0"/>
      <w:divBdr>
        <w:top w:val="none" w:sz="0" w:space="0" w:color="auto"/>
        <w:left w:val="none" w:sz="0" w:space="0" w:color="auto"/>
        <w:bottom w:val="none" w:sz="0" w:space="0" w:color="auto"/>
        <w:right w:val="none" w:sz="0" w:space="0" w:color="auto"/>
      </w:divBdr>
    </w:div>
    <w:div w:id="1005326725">
      <w:bodyDiv w:val="1"/>
      <w:marLeft w:val="0"/>
      <w:marRight w:val="0"/>
      <w:marTop w:val="0"/>
      <w:marBottom w:val="0"/>
      <w:divBdr>
        <w:top w:val="none" w:sz="0" w:space="0" w:color="auto"/>
        <w:left w:val="none" w:sz="0" w:space="0" w:color="auto"/>
        <w:bottom w:val="none" w:sz="0" w:space="0" w:color="auto"/>
        <w:right w:val="none" w:sz="0" w:space="0" w:color="auto"/>
      </w:divBdr>
    </w:div>
    <w:div w:id="1531338877">
      <w:bodyDiv w:val="1"/>
      <w:marLeft w:val="0"/>
      <w:marRight w:val="0"/>
      <w:marTop w:val="0"/>
      <w:marBottom w:val="0"/>
      <w:divBdr>
        <w:top w:val="none" w:sz="0" w:space="0" w:color="auto"/>
        <w:left w:val="none" w:sz="0" w:space="0" w:color="auto"/>
        <w:bottom w:val="none" w:sz="0" w:space="0" w:color="auto"/>
        <w:right w:val="none" w:sz="0" w:space="0" w:color="auto"/>
      </w:divBdr>
    </w:div>
    <w:div w:id="1622807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AC4B-12B3-44DB-82D2-48F0A9DF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2599</Words>
  <Characters>14298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3</dc:creator>
  <cp:lastModifiedBy>Secretario Gral</cp:lastModifiedBy>
  <cp:revision>2</cp:revision>
  <cp:lastPrinted>2021-07-27T15:32:00Z</cp:lastPrinted>
  <dcterms:created xsi:type="dcterms:W3CDTF">2021-07-29T21:23:00Z</dcterms:created>
  <dcterms:modified xsi:type="dcterms:W3CDTF">2021-07-29T21:23:00Z</dcterms:modified>
</cp:coreProperties>
</file>